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5.xml" ContentType="application/vnd.openxmlformats-officedocument.themeOverride+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theme/themeOverride9.xml" ContentType="application/vnd.openxmlformats-officedocument.themeOverride+xml"/>
  <Override PartName="/word/drawings/drawing1.xml" ContentType="application/vnd.openxmlformats-officedocument.drawingml.chartshapes+xml"/>
  <Override PartName="/word/charts/chart12.xml" ContentType="application/vnd.openxmlformats-officedocument.drawingml.chart+xml"/>
  <Override PartName="/word/theme/themeOverride10.xml" ContentType="application/vnd.openxmlformats-officedocument.themeOverride+xml"/>
  <Override PartName="/word/charts/chart13.xml" ContentType="application/vnd.openxmlformats-officedocument.drawingml.chart+xml"/>
  <Override PartName="/word/theme/themeOverride11.xml" ContentType="application/vnd.openxmlformats-officedocument.themeOverride+xml"/>
  <Override PartName="/word/charts/chart14.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05F92" w:rsidRPr="006C4B0D" w:rsidRDefault="00105F92" w:rsidP="006C4B0D">
      <w:pPr>
        <w:pStyle w:val="2"/>
        <w:ind w:left="4962" w:firstLine="708"/>
        <w:rPr>
          <w:rFonts w:ascii="Times New Roman" w:hAnsi="Times New Roman" w:cs="Times New Roman"/>
          <w:b/>
          <w:bCs/>
          <w:color w:val="auto"/>
          <w:sz w:val="28"/>
          <w:szCs w:val="28"/>
        </w:rPr>
      </w:pPr>
      <w:r w:rsidRPr="006C4B0D">
        <w:rPr>
          <w:rFonts w:ascii="Times New Roman" w:hAnsi="Times New Roman" w:cs="Times New Roman"/>
          <w:b/>
          <w:color w:val="auto"/>
          <w:sz w:val="28"/>
          <w:szCs w:val="28"/>
          <w:lang w:val="uk-UA"/>
        </w:rPr>
        <w:t>З</w:t>
      </w:r>
      <w:r w:rsidRPr="006C4B0D">
        <w:rPr>
          <w:rFonts w:ascii="Times New Roman" w:hAnsi="Times New Roman" w:cs="Times New Roman"/>
          <w:b/>
          <w:color w:val="auto"/>
          <w:sz w:val="28"/>
          <w:szCs w:val="28"/>
        </w:rPr>
        <w:t>атверджено</w:t>
      </w:r>
    </w:p>
    <w:p w:rsidR="00105F92" w:rsidRPr="00105F92" w:rsidRDefault="00105F92" w:rsidP="00105F92">
      <w:pPr>
        <w:spacing w:after="0"/>
        <w:ind w:left="5670"/>
        <w:rPr>
          <w:rFonts w:ascii="Times New Roman" w:hAnsi="Times New Roman" w:cs="Times New Roman"/>
          <w:b/>
          <w:bCs/>
          <w:sz w:val="28"/>
          <w:szCs w:val="28"/>
        </w:rPr>
      </w:pPr>
      <w:r w:rsidRPr="00105F92">
        <w:rPr>
          <w:rFonts w:ascii="Times New Roman" w:hAnsi="Times New Roman" w:cs="Times New Roman"/>
          <w:b/>
          <w:sz w:val="28"/>
          <w:szCs w:val="28"/>
        </w:rPr>
        <w:t xml:space="preserve">Наказ </w:t>
      </w:r>
      <w:r w:rsidR="00EC0F38">
        <w:rPr>
          <w:rFonts w:ascii="Times New Roman" w:hAnsi="Times New Roman" w:cs="Times New Roman"/>
          <w:b/>
          <w:sz w:val="28"/>
          <w:szCs w:val="28"/>
          <w:lang w:val="uk-UA"/>
        </w:rPr>
        <w:t xml:space="preserve">ректора </w:t>
      </w:r>
      <w:r w:rsidRPr="00105F92">
        <w:rPr>
          <w:rFonts w:ascii="Times New Roman" w:hAnsi="Times New Roman" w:cs="Times New Roman"/>
          <w:b/>
          <w:sz w:val="28"/>
          <w:szCs w:val="28"/>
        </w:rPr>
        <w:t>Національної школи суддів України</w:t>
      </w:r>
    </w:p>
    <w:p w:rsidR="00105F92" w:rsidRPr="00EF162B" w:rsidRDefault="00EF162B" w:rsidP="00903D9C">
      <w:pPr>
        <w:spacing w:after="0"/>
        <w:ind w:left="6379" w:hanging="2129"/>
        <w:rPr>
          <w:rFonts w:ascii="Times New Roman" w:hAnsi="Times New Roman" w:cs="Times New Roman"/>
          <w:b/>
          <w:bCs/>
          <w:sz w:val="28"/>
          <w:szCs w:val="28"/>
          <w:lang w:val="uk-UA"/>
        </w:rPr>
      </w:pPr>
      <w:r>
        <w:rPr>
          <w:rFonts w:ascii="Times New Roman" w:hAnsi="Times New Roman" w:cs="Times New Roman"/>
          <w:b/>
          <w:sz w:val="28"/>
          <w:szCs w:val="28"/>
          <w:lang w:val="uk-UA"/>
        </w:rPr>
        <w:t>__________</w:t>
      </w:r>
      <w:r w:rsidR="00903D9C">
        <w:rPr>
          <w:rFonts w:ascii="Times New Roman" w:hAnsi="Times New Roman" w:cs="Times New Roman"/>
          <w:b/>
          <w:sz w:val="28"/>
          <w:szCs w:val="28"/>
          <w:lang w:val="uk-UA"/>
        </w:rPr>
        <w:t>05.01.</w:t>
      </w:r>
      <w:r w:rsidR="00DA508C">
        <w:rPr>
          <w:rFonts w:ascii="Times New Roman" w:hAnsi="Times New Roman" w:cs="Times New Roman"/>
          <w:b/>
          <w:sz w:val="28"/>
          <w:szCs w:val="28"/>
          <w:lang w:val="uk-UA"/>
        </w:rPr>
        <w:t>2022</w:t>
      </w:r>
      <w:r w:rsidR="00E203A6">
        <w:rPr>
          <w:rFonts w:ascii="Times New Roman" w:hAnsi="Times New Roman" w:cs="Times New Roman"/>
          <w:b/>
          <w:sz w:val="28"/>
          <w:szCs w:val="28"/>
          <w:lang w:val="uk-UA"/>
        </w:rPr>
        <w:t xml:space="preserve"> </w:t>
      </w:r>
      <w:r w:rsidR="00903D9C">
        <w:rPr>
          <w:rFonts w:ascii="Times New Roman" w:hAnsi="Times New Roman" w:cs="Times New Roman"/>
          <w:b/>
          <w:sz w:val="28"/>
          <w:szCs w:val="28"/>
        </w:rPr>
        <w:t xml:space="preserve">№ </w:t>
      </w:r>
      <w:r w:rsidR="00903D9C">
        <w:rPr>
          <w:rFonts w:ascii="Times New Roman" w:hAnsi="Times New Roman" w:cs="Times New Roman"/>
          <w:b/>
          <w:sz w:val="28"/>
          <w:szCs w:val="28"/>
          <w:lang w:val="uk-UA"/>
        </w:rPr>
        <w:t>1</w:t>
      </w:r>
      <w:r>
        <w:rPr>
          <w:rFonts w:ascii="Times New Roman" w:hAnsi="Times New Roman" w:cs="Times New Roman"/>
          <w:b/>
          <w:sz w:val="28"/>
          <w:szCs w:val="28"/>
          <w:lang w:val="uk-UA"/>
        </w:rPr>
        <w:t>__</w:t>
      </w:r>
    </w:p>
    <w:p w:rsidR="00105F92" w:rsidRPr="004475AE" w:rsidRDefault="00105F92" w:rsidP="00105F92">
      <w:pPr>
        <w:spacing w:after="0"/>
        <w:ind w:firstLine="1560"/>
        <w:rPr>
          <w:b/>
          <w:bCs/>
        </w:rPr>
      </w:pPr>
    </w:p>
    <w:p w:rsidR="00105F92" w:rsidRPr="004475AE" w:rsidRDefault="00105F92" w:rsidP="00105F92">
      <w:pPr>
        <w:spacing w:after="0"/>
        <w:ind w:firstLine="1560"/>
        <w:rPr>
          <w:b/>
          <w:bCs/>
        </w:rPr>
      </w:pPr>
    </w:p>
    <w:p w:rsidR="00105F92" w:rsidRPr="004475AE" w:rsidRDefault="00105F92" w:rsidP="00105F92">
      <w:pPr>
        <w:spacing w:after="0"/>
        <w:ind w:firstLine="1560"/>
        <w:rPr>
          <w:b/>
          <w:bCs/>
        </w:rPr>
      </w:pPr>
    </w:p>
    <w:p w:rsidR="00105F92" w:rsidRPr="004475AE" w:rsidRDefault="00105F92" w:rsidP="00105F92">
      <w:pPr>
        <w:spacing w:after="0"/>
        <w:ind w:left="4956"/>
        <w:rPr>
          <w:b/>
          <w:bCs/>
        </w:rPr>
      </w:pPr>
    </w:p>
    <w:p w:rsidR="00105F92" w:rsidRPr="004475AE" w:rsidRDefault="00105F92" w:rsidP="00105F92">
      <w:pPr>
        <w:jc w:val="center"/>
        <w:rPr>
          <w:b/>
          <w:bCs/>
        </w:rPr>
      </w:pPr>
      <w:r w:rsidRPr="004475AE">
        <w:rPr>
          <w:b/>
          <w:bCs/>
          <w:noProof/>
          <w:lang w:val="uk-UA" w:eastAsia="uk-UA"/>
        </w:rPr>
        <w:drawing>
          <wp:inline distT="0" distB="0" distL="0" distR="0">
            <wp:extent cx="3314700" cy="2317750"/>
            <wp:effectExtent l="0" t="0" r="0" b="0"/>
            <wp:docPr id="17" name="Рисунок 17" descr="http://www.nsj.gov.ua/images/logo/logo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www.nsj.gov.ua/images/logo/logo3.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14700" cy="2317750"/>
                    </a:xfrm>
                    <a:prstGeom prst="rect">
                      <a:avLst/>
                    </a:prstGeom>
                    <a:noFill/>
                    <a:ln>
                      <a:noFill/>
                    </a:ln>
                  </pic:spPr>
                </pic:pic>
              </a:graphicData>
            </a:graphic>
          </wp:inline>
        </w:drawing>
      </w:r>
    </w:p>
    <w:p w:rsidR="00105F92" w:rsidRPr="004475AE" w:rsidRDefault="00105F92" w:rsidP="00105F92">
      <w:pPr>
        <w:jc w:val="center"/>
        <w:rPr>
          <w:b/>
          <w:bCs/>
        </w:rPr>
      </w:pPr>
    </w:p>
    <w:p w:rsidR="00105F92" w:rsidRPr="004475AE" w:rsidRDefault="00105F92" w:rsidP="00105F92">
      <w:pPr>
        <w:jc w:val="center"/>
        <w:rPr>
          <w:b/>
          <w:bCs/>
        </w:rPr>
      </w:pPr>
    </w:p>
    <w:p w:rsidR="00105F92" w:rsidRPr="00D57C2D" w:rsidRDefault="00D57C2D" w:rsidP="00105F92">
      <w:pPr>
        <w:jc w:val="center"/>
        <w:rPr>
          <w:b/>
          <w:bCs/>
          <w:color w:val="632423"/>
          <w:lang w:val="en-US"/>
        </w:rPr>
      </w:pPr>
      <w:r w:rsidRPr="00D57C2D">
        <w:rPr>
          <w:rFonts w:ascii="Times New Roman" w:hAnsi="Times New Roman" w:cs="Times New Roman"/>
          <w:b/>
          <w:color w:val="002060"/>
          <w:sz w:val="52"/>
          <w:szCs w:val="52"/>
          <w:lang w:val="en-US"/>
        </w:rPr>
        <w:t>INFORMATION AND ANALYTICAL REPORT ON THE ACTIVITIES OF THE NATIONAL SCHOOL OF JUDGES OF UKRAINE IN 2021</w:t>
      </w:r>
    </w:p>
    <w:p w:rsidR="00105F92" w:rsidRPr="00D57C2D" w:rsidRDefault="00105F92" w:rsidP="00105F92">
      <w:pPr>
        <w:jc w:val="center"/>
        <w:rPr>
          <w:b/>
          <w:bCs/>
          <w:color w:val="632423"/>
          <w:lang w:val="en-US"/>
        </w:rPr>
      </w:pPr>
    </w:p>
    <w:p w:rsidR="00105F92" w:rsidRPr="00D57C2D" w:rsidRDefault="00105F92" w:rsidP="00105F92">
      <w:pPr>
        <w:jc w:val="center"/>
        <w:rPr>
          <w:b/>
          <w:bCs/>
          <w:color w:val="632423"/>
          <w:lang w:val="en-US"/>
        </w:rPr>
      </w:pPr>
    </w:p>
    <w:p w:rsidR="00105F92" w:rsidRPr="00D57C2D" w:rsidRDefault="00105F92" w:rsidP="00105F92">
      <w:pPr>
        <w:jc w:val="center"/>
        <w:rPr>
          <w:b/>
          <w:bCs/>
          <w:color w:val="632423"/>
          <w:lang w:val="en-US"/>
        </w:rPr>
      </w:pPr>
    </w:p>
    <w:p w:rsidR="00105F92" w:rsidRPr="00D57C2D" w:rsidRDefault="00105F92" w:rsidP="00105F92">
      <w:pPr>
        <w:jc w:val="center"/>
        <w:rPr>
          <w:b/>
          <w:bCs/>
          <w:color w:val="632423"/>
          <w:lang w:val="en-US"/>
        </w:rPr>
      </w:pPr>
    </w:p>
    <w:p w:rsidR="00105F92" w:rsidRPr="00D57C2D" w:rsidRDefault="00105F92" w:rsidP="00105F92">
      <w:pPr>
        <w:jc w:val="center"/>
        <w:rPr>
          <w:b/>
          <w:bCs/>
          <w:color w:val="632423"/>
          <w:lang w:val="en-US"/>
        </w:rPr>
      </w:pPr>
    </w:p>
    <w:p w:rsidR="00105F92" w:rsidRPr="00D57C2D" w:rsidRDefault="00105F92" w:rsidP="00105F92">
      <w:pPr>
        <w:jc w:val="center"/>
        <w:rPr>
          <w:b/>
          <w:bCs/>
          <w:color w:val="632423"/>
          <w:lang w:val="en-US"/>
        </w:rPr>
      </w:pPr>
    </w:p>
    <w:p w:rsidR="00105F92" w:rsidRPr="00D57C2D" w:rsidRDefault="00105F92" w:rsidP="00105F92">
      <w:pPr>
        <w:jc w:val="center"/>
        <w:rPr>
          <w:b/>
          <w:bCs/>
          <w:color w:val="632423"/>
          <w:lang w:val="en-US"/>
        </w:rPr>
      </w:pPr>
    </w:p>
    <w:p w:rsidR="00105F92" w:rsidRPr="00D57C2D" w:rsidRDefault="00105F92" w:rsidP="00105F92">
      <w:pPr>
        <w:jc w:val="center"/>
        <w:rPr>
          <w:b/>
          <w:bCs/>
          <w:color w:val="632423"/>
          <w:lang w:val="en-US"/>
        </w:rPr>
      </w:pPr>
    </w:p>
    <w:p w:rsidR="00105F92" w:rsidRPr="00DA508C" w:rsidRDefault="00105F92" w:rsidP="00105F92">
      <w:pPr>
        <w:jc w:val="center"/>
        <w:rPr>
          <w:rFonts w:ascii="Times New Roman" w:hAnsi="Times New Roman" w:cs="Times New Roman"/>
          <w:b/>
          <w:bCs/>
          <w:sz w:val="28"/>
          <w:szCs w:val="28"/>
          <w:lang w:val="uk-UA"/>
        </w:rPr>
        <w:sectPr w:rsidR="00105F92" w:rsidRPr="00DA508C" w:rsidSect="005B0F32">
          <w:headerReference w:type="default" r:id="rId9"/>
          <w:headerReference w:type="first" r:id="rId10"/>
          <w:pgSz w:w="11906" w:h="16838"/>
          <w:pgMar w:top="1134" w:right="1134" w:bottom="1134" w:left="1134" w:header="708" w:footer="708" w:gutter="0"/>
          <w:cols w:space="708"/>
          <w:titlePg/>
          <w:docGrid w:linePitch="360"/>
        </w:sectPr>
      </w:pPr>
      <w:r w:rsidRPr="00B069AD">
        <w:rPr>
          <w:rFonts w:ascii="Times New Roman" w:hAnsi="Times New Roman" w:cs="Times New Roman"/>
          <w:b/>
          <w:sz w:val="28"/>
          <w:szCs w:val="28"/>
          <w:lang w:val="en-US"/>
        </w:rPr>
        <w:t xml:space="preserve"> </w:t>
      </w:r>
      <w:r w:rsidR="000F5AC0" w:rsidRPr="000F5AC0">
        <w:rPr>
          <w:rFonts w:ascii="Times New Roman" w:hAnsi="Times New Roman" w:cs="Times New Roman"/>
          <w:b/>
          <w:sz w:val="28"/>
          <w:szCs w:val="28"/>
        </w:rPr>
        <w:t>Kyiv</w:t>
      </w:r>
      <w:r w:rsidR="000F5AC0">
        <w:rPr>
          <w:rFonts w:ascii="Times New Roman" w:hAnsi="Times New Roman" w:cs="Times New Roman"/>
          <w:b/>
          <w:sz w:val="28"/>
          <w:szCs w:val="28"/>
          <w:lang w:val="uk-UA"/>
        </w:rPr>
        <w:t xml:space="preserve"> </w:t>
      </w:r>
      <w:r>
        <w:rPr>
          <w:rFonts w:ascii="Times New Roman" w:hAnsi="Times New Roman" w:cs="Times New Roman"/>
          <w:b/>
          <w:sz w:val="28"/>
          <w:szCs w:val="28"/>
        </w:rPr>
        <w:t>– 20</w:t>
      </w:r>
      <w:r w:rsidR="003C35B0">
        <w:rPr>
          <w:rFonts w:ascii="Times New Roman" w:hAnsi="Times New Roman" w:cs="Times New Roman"/>
          <w:b/>
          <w:sz w:val="28"/>
          <w:szCs w:val="28"/>
          <w:lang w:val="uk-UA"/>
        </w:rPr>
        <w:t>2</w:t>
      </w:r>
      <w:r w:rsidR="00DA508C">
        <w:rPr>
          <w:rFonts w:ascii="Times New Roman" w:hAnsi="Times New Roman" w:cs="Times New Roman"/>
          <w:b/>
          <w:sz w:val="28"/>
          <w:szCs w:val="28"/>
          <w:lang w:val="uk-UA"/>
        </w:rPr>
        <w:t>2</w:t>
      </w:r>
    </w:p>
    <w:tbl>
      <w:tblPr>
        <w:tblW w:w="0" w:type="auto"/>
        <w:tblLayout w:type="fixed"/>
        <w:tblLook w:val="04A0" w:firstRow="1" w:lastRow="0" w:firstColumn="1" w:lastColumn="0" w:noHBand="0" w:noVBand="1"/>
      </w:tblPr>
      <w:tblGrid>
        <w:gridCol w:w="1526"/>
        <w:gridCol w:w="7087"/>
        <w:gridCol w:w="691"/>
      </w:tblGrid>
      <w:tr w:rsidR="00F20E3C" w:rsidTr="00CE3208">
        <w:tc>
          <w:tcPr>
            <w:tcW w:w="1526" w:type="dxa"/>
          </w:tcPr>
          <w:p w:rsidR="00F20E3C" w:rsidRDefault="00F20E3C" w:rsidP="001250D6">
            <w:pPr>
              <w:spacing w:before="60" w:after="0"/>
              <w:ind w:right="17" w:hanging="112"/>
              <w:jc w:val="center"/>
              <w:rPr>
                <w:rFonts w:ascii="Times New Roman" w:hAnsi="Times New Roman" w:cs="Times New Roman"/>
                <w:b/>
                <w:sz w:val="24"/>
                <w:szCs w:val="24"/>
                <w:lang w:val="uk-UA"/>
              </w:rPr>
            </w:pPr>
          </w:p>
        </w:tc>
        <w:tc>
          <w:tcPr>
            <w:tcW w:w="7087" w:type="dxa"/>
          </w:tcPr>
          <w:p w:rsidR="00F20E3C" w:rsidRDefault="00F20E3C" w:rsidP="001250D6">
            <w:pPr>
              <w:spacing w:before="60" w:after="0"/>
              <w:ind w:right="17"/>
              <w:jc w:val="both"/>
              <w:rPr>
                <w:rFonts w:ascii="Times New Roman" w:hAnsi="Times New Roman" w:cs="Times New Roman"/>
                <w:b/>
                <w:sz w:val="24"/>
                <w:szCs w:val="24"/>
                <w:lang w:val="uk-UA"/>
              </w:rPr>
            </w:pPr>
          </w:p>
        </w:tc>
        <w:tc>
          <w:tcPr>
            <w:tcW w:w="691" w:type="dxa"/>
          </w:tcPr>
          <w:p w:rsidR="00F20E3C" w:rsidRDefault="00F20E3C" w:rsidP="001250D6">
            <w:pPr>
              <w:tabs>
                <w:tab w:val="left" w:pos="200"/>
                <w:tab w:val="right" w:pos="458"/>
              </w:tabs>
              <w:spacing w:before="60" w:after="0"/>
              <w:ind w:right="17"/>
              <w:jc w:val="right"/>
              <w:rPr>
                <w:rFonts w:ascii="Times New Roman" w:hAnsi="Times New Roman" w:cs="Times New Roman"/>
                <w:b/>
                <w:sz w:val="24"/>
                <w:szCs w:val="24"/>
                <w:lang w:val="uk-UA"/>
              </w:rPr>
            </w:pPr>
          </w:p>
        </w:tc>
      </w:tr>
    </w:tbl>
    <w:p w:rsidR="00D57C2D" w:rsidRPr="00D57C2D" w:rsidRDefault="00D57C2D" w:rsidP="00D57C2D">
      <w:pPr>
        <w:jc w:val="center"/>
        <w:rPr>
          <w:rFonts w:ascii="Times New Roman" w:hAnsi="Times New Roman" w:cs="Times New Roman"/>
          <w:b/>
          <w:sz w:val="36"/>
          <w:szCs w:val="36"/>
          <w:lang w:val="uk-UA"/>
        </w:rPr>
      </w:pPr>
      <w:r w:rsidRPr="00D57C2D">
        <w:rPr>
          <w:rFonts w:ascii="Times New Roman" w:hAnsi="Times New Roman" w:cs="Times New Roman"/>
          <w:b/>
          <w:sz w:val="36"/>
          <w:szCs w:val="36"/>
          <w:lang w:val="uk-UA"/>
        </w:rPr>
        <w:t>Information and analytical report</w:t>
      </w:r>
    </w:p>
    <w:p w:rsidR="009D0584" w:rsidRDefault="00D57C2D" w:rsidP="00D57C2D">
      <w:pPr>
        <w:jc w:val="center"/>
        <w:rPr>
          <w:rFonts w:ascii="Times New Roman" w:hAnsi="Times New Roman" w:cs="Times New Roman"/>
          <w:b/>
          <w:sz w:val="32"/>
          <w:szCs w:val="32"/>
          <w:lang w:val="uk-UA"/>
        </w:rPr>
      </w:pPr>
      <w:r w:rsidRPr="00D57C2D">
        <w:rPr>
          <w:rFonts w:ascii="Times New Roman" w:hAnsi="Times New Roman" w:cs="Times New Roman"/>
          <w:b/>
          <w:sz w:val="36"/>
          <w:szCs w:val="36"/>
          <w:lang w:val="uk-UA"/>
        </w:rPr>
        <w:t>on the activities of the National School of Judges in 2021</w:t>
      </w:r>
    </w:p>
    <w:p w:rsidR="009D0584" w:rsidRPr="00CE5ACB" w:rsidRDefault="009D0584" w:rsidP="00EC0F38">
      <w:pPr>
        <w:jc w:val="center"/>
        <w:rPr>
          <w:rFonts w:ascii="Times New Roman" w:hAnsi="Times New Roman" w:cs="Times New Roman"/>
          <w:b/>
          <w:sz w:val="32"/>
          <w:szCs w:val="32"/>
          <w:lang w:val="uk-UA"/>
        </w:rPr>
      </w:pPr>
    </w:p>
    <w:tbl>
      <w:tblPr>
        <w:tblW w:w="0" w:type="auto"/>
        <w:tblLayout w:type="fixed"/>
        <w:tblLook w:val="04A0" w:firstRow="1" w:lastRow="0" w:firstColumn="1" w:lastColumn="0" w:noHBand="0" w:noVBand="1"/>
      </w:tblPr>
      <w:tblGrid>
        <w:gridCol w:w="1526"/>
        <w:gridCol w:w="7087"/>
        <w:gridCol w:w="691"/>
      </w:tblGrid>
      <w:tr w:rsidR="00EC0F38" w:rsidTr="00BF0D1F">
        <w:tc>
          <w:tcPr>
            <w:tcW w:w="1526" w:type="dxa"/>
          </w:tcPr>
          <w:p w:rsidR="00EC0F38" w:rsidRDefault="00EC0F38" w:rsidP="00BF0D1F">
            <w:pPr>
              <w:spacing w:before="60" w:after="60"/>
              <w:ind w:right="17"/>
              <w:jc w:val="center"/>
              <w:rPr>
                <w:rFonts w:ascii="Times New Roman" w:hAnsi="Times New Roman" w:cs="Times New Roman"/>
                <w:b/>
                <w:sz w:val="24"/>
                <w:szCs w:val="24"/>
                <w:lang w:val="uk-UA"/>
              </w:rPr>
            </w:pPr>
          </w:p>
        </w:tc>
        <w:tc>
          <w:tcPr>
            <w:tcW w:w="7087" w:type="dxa"/>
            <w:hideMark/>
          </w:tcPr>
          <w:p w:rsidR="009D0584" w:rsidRPr="00D57C2D" w:rsidRDefault="00D57C2D" w:rsidP="00BF0D1F">
            <w:pPr>
              <w:spacing w:before="60" w:after="60"/>
              <w:ind w:right="17"/>
              <w:rPr>
                <w:rFonts w:ascii="Times New Roman" w:hAnsi="Times New Roman" w:cs="Times New Roman"/>
                <w:b/>
                <w:sz w:val="32"/>
                <w:szCs w:val="32"/>
                <w:lang w:val="uk-UA"/>
              </w:rPr>
            </w:pPr>
            <w:r w:rsidRPr="00D57C2D">
              <w:rPr>
                <w:rFonts w:ascii="Times New Roman" w:hAnsi="Times New Roman" w:cs="Times New Roman"/>
                <w:b/>
                <w:sz w:val="32"/>
                <w:szCs w:val="32"/>
                <w:lang w:val="uk-UA"/>
              </w:rPr>
              <w:t xml:space="preserve">            </w:t>
            </w:r>
            <w:r>
              <w:rPr>
                <w:rFonts w:ascii="Times New Roman" w:hAnsi="Times New Roman" w:cs="Times New Roman"/>
                <w:b/>
                <w:sz w:val="32"/>
                <w:szCs w:val="32"/>
                <w:lang w:val="uk-UA"/>
              </w:rPr>
              <w:t xml:space="preserve">                      Contents</w:t>
            </w:r>
          </w:p>
        </w:tc>
        <w:tc>
          <w:tcPr>
            <w:tcW w:w="691" w:type="dxa"/>
          </w:tcPr>
          <w:p w:rsidR="00EC0F38" w:rsidRDefault="00EC0F38" w:rsidP="00BF0D1F">
            <w:pPr>
              <w:spacing w:before="60" w:after="60"/>
              <w:ind w:right="17"/>
              <w:jc w:val="right"/>
              <w:rPr>
                <w:rFonts w:ascii="Times New Roman" w:hAnsi="Times New Roman" w:cs="Times New Roman"/>
                <w:b/>
                <w:sz w:val="24"/>
                <w:szCs w:val="24"/>
                <w:lang w:val="uk-UA"/>
              </w:rPr>
            </w:pPr>
          </w:p>
        </w:tc>
      </w:tr>
      <w:tr w:rsidR="00EC0F38" w:rsidTr="00BF0D1F">
        <w:tc>
          <w:tcPr>
            <w:tcW w:w="1526" w:type="dxa"/>
          </w:tcPr>
          <w:p w:rsidR="00EC0F38" w:rsidRDefault="00EC0F38" w:rsidP="00BF0D1F">
            <w:pPr>
              <w:spacing w:before="60" w:after="0"/>
              <w:ind w:right="17"/>
              <w:jc w:val="center"/>
              <w:rPr>
                <w:rFonts w:ascii="Times New Roman" w:hAnsi="Times New Roman" w:cs="Times New Roman"/>
                <w:b/>
                <w:sz w:val="24"/>
                <w:szCs w:val="24"/>
                <w:lang w:val="uk-UA"/>
              </w:rPr>
            </w:pPr>
          </w:p>
        </w:tc>
        <w:tc>
          <w:tcPr>
            <w:tcW w:w="7087" w:type="dxa"/>
            <w:hideMark/>
          </w:tcPr>
          <w:p w:rsidR="00EC0F38" w:rsidRDefault="00571556" w:rsidP="00571556">
            <w:pPr>
              <w:spacing w:before="60" w:after="0"/>
              <w:ind w:right="17"/>
              <w:jc w:val="both"/>
              <w:rPr>
                <w:rFonts w:ascii="Times New Roman" w:hAnsi="Times New Roman" w:cs="Times New Roman"/>
                <w:b/>
                <w:sz w:val="24"/>
                <w:szCs w:val="24"/>
                <w:lang w:val="uk-UA"/>
              </w:rPr>
            </w:pPr>
            <w:r w:rsidRPr="00571556">
              <w:rPr>
                <w:rFonts w:ascii="Times New Roman" w:hAnsi="Times New Roman" w:cs="Times New Roman"/>
                <w:b/>
                <w:sz w:val="24"/>
                <w:szCs w:val="24"/>
                <w:lang w:val="uk-UA"/>
              </w:rPr>
              <w:t xml:space="preserve">Introduction. Defining and implementing strategic objectives </w:t>
            </w:r>
          </w:p>
        </w:tc>
        <w:tc>
          <w:tcPr>
            <w:tcW w:w="691" w:type="dxa"/>
          </w:tcPr>
          <w:p w:rsidR="00EC0F38" w:rsidRDefault="00EC0F38" w:rsidP="00BF0D1F">
            <w:pPr>
              <w:tabs>
                <w:tab w:val="left" w:pos="443"/>
              </w:tabs>
              <w:spacing w:before="60" w:after="0"/>
              <w:ind w:right="17"/>
              <w:jc w:val="right"/>
              <w:rPr>
                <w:rFonts w:ascii="Times New Roman" w:hAnsi="Times New Roman" w:cs="Times New Roman"/>
                <w:b/>
                <w:sz w:val="24"/>
                <w:szCs w:val="24"/>
                <w:lang w:val="uk-UA"/>
              </w:rPr>
            </w:pPr>
            <w:r>
              <w:rPr>
                <w:rFonts w:ascii="Times New Roman" w:hAnsi="Times New Roman" w:cs="Times New Roman"/>
                <w:b/>
                <w:sz w:val="24"/>
                <w:szCs w:val="24"/>
                <w:lang w:val="uk-UA"/>
              </w:rPr>
              <w:t>3</w:t>
            </w:r>
          </w:p>
        </w:tc>
      </w:tr>
      <w:tr w:rsidR="00EC0F38" w:rsidTr="00BF0D1F">
        <w:tc>
          <w:tcPr>
            <w:tcW w:w="1526" w:type="dxa"/>
            <w:hideMark/>
          </w:tcPr>
          <w:p w:rsidR="00EC0F38" w:rsidRPr="00981240" w:rsidRDefault="00981240" w:rsidP="00BF0D1F">
            <w:pPr>
              <w:spacing w:before="60" w:after="0"/>
              <w:ind w:left="28" w:right="17" w:hanging="425"/>
              <w:jc w:val="center"/>
              <w:rPr>
                <w:rFonts w:ascii="Times New Roman" w:hAnsi="Times New Roman" w:cs="Times New Roman"/>
                <w:b/>
                <w:lang w:val="en-US"/>
              </w:rPr>
            </w:pPr>
            <w:r w:rsidRPr="00981240">
              <w:rPr>
                <w:rFonts w:ascii="Times New Roman" w:hAnsi="Times New Roman" w:cs="Times New Roman"/>
                <w:b/>
                <w:lang w:val="uk-UA"/>
              </w:rPr>
              <w:t>Section I</w:t>
            </w:r>
            <w:r w:rsidR="00EC0F38" w:rsidRPr="00981240">
              <w:rPr>
                <w:rFonts w:ascii="Times New Roman" w:hAnsi="Times New Roman" w:cs="Times New Roman"/>
                <w:b/>
                <w:lang w:val="en-US"/>
              </w:rPr>
              <w:t>.</w:t>
            </w:r>
          </w:p>
        </w:tc>
        <w:tc>
          <w:tcPr>
            <w:tcW w:w="7087" w:type="dxa"/>
            <w:hideMark/>
          </w:tcPr>
          <w:p w:rsidR="00EC0F38" w:rsidRDefault="000F5AC0" w:rsidP="00BF0D1F">
            <w:pPr>
              <w:spacing w:before="60" w:after="0"/>
              <w:ind w:left="34"/>
              <w:jc w:val="both"/>
              <w:rPr>
                <w:rFonts w:ascii="Times New Roman" w:hAnsi="Times New Roman" w:cs="Times New Roman"/>
                <w:b/>
                <w:sz w:val="24"/>
                <w:szCs w:val="24"/>
                <w:lang w:val="uk-UA"/>
              </w:rPr>
            </w:pPr>
            <w:r w:rsidRPr="000F5AC0">
              <w:rPr>
                <w:rFonts w:ascii="Times New Roman" w:hAnsi="Times New Roman" w:cs="Times New Roman"/>
                <w:b/>
                <w:sz w:val="24"/>
                <w:szCs w:val="24"/>
                <w:lang w:val="uk-UA"/>
              </w:rPr>
              <w:t>Training of judges to maintain their qualifications, periodic training of judges to improve their skills</w:t>
            </w:r>
            <w:r>
              <w:rPr>
                <w:rFonts w:ascii="Times New Roman" w:hAnsi="Times New Roman" w:cs="Times New Roman"/>
                <w:b/>
                <w:sz w:val="24"/>
                <w:szCs w:val="24"/>
                <w:lang w:val="uk-UA"/>
              </w:rPr>
              <w:t>…………….</w:t>
            </w:r>
          </w:p>
        </w:tc>
        <w:tc>
          <w:tcPr>
            <w:tcW w:w="691" w:type="dxa"/>
          </w:tcPr>
          <w:p w:rsidR="00EC0F38" w:rsidRDefault="00EC0F38" w:rsidP="00BF0D1F">
            <w:pPr>
              <w:spacing w:before="60" w:after="0"/>
              <w:ind w:right="17"/>
              <w:jc w:val="center"/>
              <w:rPr>
                <w:rFonts w:ascii="Times New Roman" w:hAnsi="Times New Roman" w:cs="Times New Roman"/>
                <w:b/>
                <w:sz w:val="24"/>
                <w:szCs w:val="24"/>
                <w:lang w:val="uk-UA"/>
              </w:rPr>
            </w:pPr>
          </w:p>
          <w:p w:rsidR="00EC0F38" w:rsidRDefault="00386D7A" w:rsidP="00BF0D1F">
            <w:pPr>
              <w:spacing w:before="60" w:after="0"/>
              <w:ind w:right="17"/>
              <w:jc w:val="center"/>
              <w:rPr>
                <w:rFonts w:ascii="Times New Roman" w:hAnsi="Times New Roman" w:cs="Times New Roman"/>
                <w:b/>
                <w:sz w:val="24"/>
                <w:szCs w:val="24"/>
                <w:lang w:val="uk-UA"/>
              </w:rPr>
            </w:pPr>
            <w:r>
              <w:rPr>
                <w:rFonts w:ascii="Times New Roman" w:hAnsi="Times New Roman" w:cs="Times New Roman"/>
                <w:b/>
                <w:sz w:val="24"/>
                <w:szCs w:val="24"/>
                <w:lang w:val="uk-UA"/>
              </w:rPr>
              <w:t xml:space="preserve">    </w:t>
            </w:r>
            <w:r>
              <w:rPr>
                <w:rFonts w:ascii="Times New Roman" w:hAnsi="Times New Roman" w:cs="Times New Roman"/>
                <w:b/>
                <w:sz w:val="24"/>
                <w:szCs w:val="24"/>
                <w:lang w:val="en-US"/>
              </w:rPr>
              <w:t xml:space="preserve"> </w:t>
            </w:r>
            <w:r>
              <w:rPr>
                <w:rFonts w:ascii="Times New Roman" w:hAnsi="Times New Roman" w:cs="Times New Roman"/>
                <w:b/>
                <w:sz w:val="24"/>
                <w:szCs w:val="24"/>
                <w:lang w:val="uk-UA"/>
              </w:rPr>
              <w:t>5</w:t>
            </w:r>
          </w:p>
        </w:tc>
      </w:tr>
      <w:tr w:rsidR="00EC0F38" w:rsidTr="00526EAD">
        <w:trPr>
          <w:trHeight w:val="105"/>
        </w:trPr>
        <w:tc>
          <w:tcPr>
            <w:tcW w:w="1526" w:type="dxa"/>
            <w:hideMark/>
          </w:tcPr>
          <w:p w:rsidR="00EC0F38" w:rsidRPr="00981240" w:rsidRDefault="00981240" w:rsidP="00BF0D1F">
            <w:pPr>
              <w:spacing w:before="60" w:after="0"/>
              <w:ind w:right="17" w:hanging="255"/>
              <w:jc w:val="center"/>
              <w:rPr>
                <w:rFonts w:ascii="Times New Roman" w:hAnsi="Times New Roman" w:cs="Times New Roman"/>
                <w:b/>
                <w:lang w:val="uk-UA"/>
              </w:rPr>
            </w:pPr>
            <w:r w:rsidRPr="00981240">
              <w:rPr>
                <w:rFonts w:ascii="Times New Roman" w:hAnsi="Times New Roman" w:cs="Times New Roman"/>
                <w:b/>
                <w:lang w:val="uk-UA"/>
              </w:rPr>
              <w:t xml:space="preserve">Section </w:t>
            </w:r>
            <w:r w:rsidR="00EC0F38" w:rsidRPr="00981240">
              <w:rPr>
                <w:rFonts w:ascii="Times New Roman" w:hAnsi="Times New Roman" w:cs="Times New Roman"/>
                <w:b/>
                <w:lang w:val="en-US"/>
              </w:rPr>
              <w:t>I</w:t>
            </w:r>
            <w:r w:rsidR="00EC0F38" w:rsidRPr="00981240">
              <w:rPr>
                <w:rFonts w:ascii="Times New Roman" w:hAnsi="Times New Roman" w:cs="Times New Roman"/>
                <w:b/>
                <w:lang w:val="uk-UA"/>
              </w:rPr>
              <w:t>І.</w:t>
            </w:r>
          </w:p>
        </w:tc>
        <w:tc>
          <w:tcPr>
            <w:tcW w:w="7087" w:type="dxa"/>
            <w:hideMark/>
          </w:tcPr>
          <w:p w:rsidR="00EC0F38" w:rsidRDefault="000F5AC0" w:rsidP="000F5AC0">
            <w:pPr>
              <w:spacing w:before="60" w:after="0"/>
              <w:jc w:val="both"/>
              <w:rPr>
                <w:rFonts w:ascii="Times New Roman" w:hAnsi="Times New Roman" w:cs="Times New Roman"/>
                <w:b/>
                <w:sz w:val="24"/>
                <w:szCs w:val="24"/>
                <w:lang w:val="uk-UA"/>
              </w:rPr>
            </w:pPr>
            <w:r w:rsidRPr="000F5AC0">
              <w:rPr>
                <w:rFonts w:ascii="Times New Roman" w:hAnsi="Times New Roman" w:cs="Times New Roman"/>
                <w:b/>
                <w:sz w:val="24"/>
                <w:szCs w:val="24"/>
                <w:lang w:val="uk-UA"/>
              </w:rPr>
              <w:t xml:space="preserve">Training of court staff and upgrading their skills </w:t>
            </w:r>
            <w:r>
              <w:rPr>
                <w:rFonts w:ascii="Times New Roman" w:hAnsi="Times New Roman" w:cs="Times New Roman"/>
                <w:b/>
                <w:sz w:val="24"/>
                <w:szCs w:val="24"/>
                <w:lang w:val="uk-UA"/>
              </w:rPr>
              <w:t>……….</w:t>
            </w:r>
          </w:p>
        </w:tc>
        <w:tc>
          <w:tcPr>
            <w:tcW w:w="691" w:type="dxa"/>
          </w:tcPr>
          <w:p w:rsidR="00EC0F38" w:rsidRDefault="00D45674" w:rsidP="00BF0D1F">
            <w:pPr>
              <w:spacing w:before="60" w:after="0"/>
              <w:ind w:right="17"/>
              <w:jc w:val="right"/>
              <w:rPr>
                <w:rFonts w:ascii="Times New Roman" w:hAnsi="Times New Roman" w:cs="Times New Roman"/>
                <w:b/>
                <w:sz w:val="24"/>
                <w:szCs w:val="24"/>
                <w:lang w:val="uk-UA"/>
              </w:rPr>
            </w:pPr>
            <w:r>
              <w:rPr>
                <w:rFonts w:ascii="Times New Roman" w:hAnsi="Times New Roman" w:cs="Times New Roman"/>
                <w:b/>
                <w:sz w:val="24"/>
                <w:szCs w:val="24"/>
                <w:lang w:val="uk-UA"/>
              </w:rPr>
              <w:t>14</w:t>
            </w:r>
          </w:p>
        </w:tc>
      </w:tr>
      <w:tr w:rsidR="00EC0F38" w:rsidTr="00BF0D1F">
        <w:tc>
          <w:tcPr>
            <w:tcW w:w="1526" w:type="dxa"/>
            <w:hideMark/>
          </w:tcPr>
          <w:p w:rsidR="00EC0F38" w:rsidRPr="00981240" w:rsidRDefault="00981240" w:rsidP="00981240">
            <w:pPr>
              <w:spacing w:before="60" w:after="0"/>
              <w:ind w:right="146"/>
              <w:rPr>
                <w:rFonts w:ascii="Times New Roman" w:hAnsi="Times New Roman" w:cs="Times New Roman"/>
                <w:b/>
                <w:lang w:val="uk-UA"/>
              </w:rPr>
            </w:pPr>
            <w:r w:rsidRPr="00981240">
              <w:rPr>
                <w:rFonts w:ascii="Times New Roman" w:hAnsi="Times New Roman" w:cs="Times New Roman"/>
                <w:b/>
                <w:lang w:val="uk-UA"/>
              </w:rPr>
              <w:t>Section</w:t>
            </w:r>
            <w:r w:rsidR="00EC0F38" w:rsidRPr="00981240">
              <w:rPr>
                <w:rFonts w:ascii="Times New Roman" w:hAnsi="Times New Roman" w:cs="Times New Roman"/>
                <w:b/>
                <w:lang w:val="uk-UA"/>
              </w:rPr>
              <w:t xml:space="preserve"> І</w:t>
            </w:r>
            <w:r w:rsidR="00EC0F38" w:rsidRPr="00981240">
              <w:rPr>
                <w:rFonts w:ascii="Times New Roman" w:hAnsi="Times New Roman" w:cs="Times New Roman"/>
                <w:b/>
                <w:lang w:val="en-US"/>
              </w:rPr>
              <w:t>II</w:t>
            </w:r>
            <w:r w:rsidR="00EC0F38" w:rsidRPr="00981240">
              <w:rPr>
                <w:rFonts w:ascii="Times New Roman" w:hAnsi="Times New Roman" w:cs="Times New Roman"/>
                <w:b/>
                <w:lang w:val="uk-UA"/>
              </w:rPr>
              <w:t>.</w:t>
            </w:r>
          </w:p>
        </w:tc>
        <w:tc>
          <w:tcPr>
            <w:tcW w:w="7087" w:type="dxa"/>
            <w:hideMark/>
          </w:tcPr>
          <w:p w:rsidR="00EC0F38" w:rsidRPr="000F5AC0" w:rsidRDefault="000F5AC0" w:rsidP="00981240">
            <w:pPr>
              <w:spacing w:before="60" w:after="0"/>
              <w:jc w:val="both"/>
              <w:rPr>
                <w:rFonts w:ascii="Times New Roman" w:hAnsi="Times New Roman" w:cs="Times New Roman"/>
                <w:b/>
                <w:sz w:val="24"/>
                <w:szCs w:val="24"/>
                <w:lang w:val="en-US"/>
              </w:rPr>
            </w:pPr>
            <w:r w:rsidRPr="000F5AC0">
              <w:rPr>
                <w:rFonts w:ascii="Times New Roman" w:hAnsi="Times New Roman" w:cs="Times New Roman"/>
                <w:b/>
                <w:sz w:val="24"/>
                <w:szCs w:val="24"/>
                <w:lang w:val="uk-UA"/>
              </w:rPr>
              <w:t xml:space="preserve">Special training for judicial candidates </w:t>
            </w:r>
            <w:r w:rsidR="00EC0F38" w:rsidRPr="000F5AC0">
              <w:rPr>
                <w:rFonts w:ascii="Times New Roman" w:hAnsi="Times New Roman" w:cs="Times New Roman"/>
                <w:b/>
                <w:sz w:val="24"/>
                <w:szCs w:val="24"/>
                <w:lang w:val="en-US"/>
              </w:rPr>
              <w:t>…………...</w:t>
            </w:r>
          </w:p>
        </w:tc>
        <w:tc>
          <w:tcPr>
            <w:tcW w:w="691" w:type="dxa"/>
            <w:hideMark/>
          </w:tcPr>
          <w:p w:rsidR="00EC0F38" w:rsidRDefault="00603B1A" w:rsidP="00BF0D1F">
            <w:pPr>
              <w:spacing w:before="60" w:after="0"/>
              <w:ind w:right="17"/>
              <w:jc w:val="right"/>
              <w:rPr>
                <w:rFonts w:ascii="Times New Roman" w:hAnsi="Times New Roman" w:cs="Times New Roman"/>
                <w:b/>
                <w:sz w:val="24"/>
                <w:szCs w:val="24"/>
                <w:lang w:val="uk-UA"/>
              </w:rPr>
            </w:pPr>
            <w:r>
              <w:rPr>
                <w:rFonts w:ascii="Times New Roman" w:hAnsi="Times New Roman" w:cs="Times New Roman"/>
                <w:b/>
                <w:sz w:val="24"/>
                <w:szCs w:val="24"/>
                <w:lang w:val="uk-UA"/>
              </w:rPr>
              <w:t>22</w:t>
            </w:r>
          </w:p>
        </w:tc>
      </w:tr>
      <w:tr w:rsidR="00EC0F38" w:rsidTr="00BF0D1F">
        <w:tc>
          <w:tcPr>
            <w:tcW w:w="1526" w:type="dxa"/>
          </w:tcPr>
          <w:p w:rsidR="00EC0F38" w:rsidRPr="00981240" w:rsidRDefault="00981240" w:rsidP="00981240">
            <w:pPr>
              <w:spacing w:before="60" w:after="0"/>
              <w:ind w:right="17" w:hanging="112"/>
              <w:rPr>
                <w:rFonts w:ascii="Times New Roman" w:hAnsi="Times New Roman" w:cs="Times New Roman"/>
                <w:b/>
                <w:lang w:val="uk-UA"/>
              </w:rPr>
            </w:pPr>
            <w:r w:rsidRPr="00981240">
              <w:rPr>
                <w:rFonts w:ascii="Times New Roman" w:hAnsi="Times New Roman" w:cs="Times New Roman"/>
                <w:b/>
                <w:lang w:val="uk-UA"/>
              </w:rPr>
              <w:t xml:space="preserve">  Section</w:t>
            </w:r>
            <w:r w:rsidR="00EC0F38" w:rsidRPr="00981240">
              <w:rPr>
                <w:rFonts w:ascii="Times New Roman" w:hAnsi="Times New Roman" w:cs="Times New Roman"/>
                <w:b/>
                <w:lang w:val="uk-UA"/>
              </w:rPr>
              <w:t xml:space="preserve"> </w:t>
            </w:r>
            <w:r w:rsidR="00EC0F38" w:rsidRPr="00981240">
              <w:rPr>
                <w:rFonts w:ascii="Times New Roman" w:hAnsi="Times New Roman" w:cs="Times New Roman"/>
                <w:b/>
                <w:lang w:val="en-US"/>
              </w:rPr>
              <w:t>IV</w:t>
            </w:r>
            <w:r w:rsidR="00EC0F38" w:rsidRPr="00981240">
              <w:rPr>
                <w:rFonts w:ascii="Times New Roman" w:hAnsi="Times New Roman" w:cs="Times New Roman"/>
                <w:b/>
                <w:lang w:val="uk-UA"/>
              </w:rPr>
              <w:t xml:space="preserve">. </w:t>
            </w:r>
          </w:p>
        </w:tc>
        <w:tc>
          <w:tcPr>
            <w:tcW w:w="7087" w:type="dxa"/>
          </w:tcPr>
          <w:p w:rsidR="00EC0F38" w:rsidRDefault="000F5AC0" w:rsidP="000F5AC0">
            <w:pPr>
              <w:spacing w:before="60" w:after="0"/>
              <w:ind w:left="34"/>
              <w:rPr>
                <w:rFonts w:ascii="Times New Roman" w:hAnsi="Times New Roman" w:cs="Times New Roman"/>
                <w:b/>
                <w:sz w:val="24"/>
                <w:szCs w:val="24"/>
                <w:lang w:val="uk-UA"/>
              </w:rPr>
            </w:pPr>
            <w:r w:rsidRPr="000F5AC0">
              <w:rPr>
                <w:rFonts w:ascii="Times New Roman" w:hAnsi="Times New Roman" w:cs="Times New Roman"/>
                <w:b/>
                <w:sz w:val="24"/>
                <w:szCs w:val="24"/>
                <w:lang w:val="uk-UA"/>
              </w:rPr>
              <w:t xml:space="preserve">Training of employees of the Court Security Service </w:t>
            </w:r>
            <w:r w:rsidR="00EC0F38">
              <w:rPr>
                <w:rFonts w:ascii="Times New Roman" w:hAnsi="Times New Roman" w:cs="Times New Roman"/>
                <w:b/>
                <w:sz w:val="24"/>
                <w:szCs w:val="24"/>
                <w:lang w:val="uk-UA"/>
              </w:rPr>
              <w:t>……………</w:t>
            </w:r>
          </w:p>
        </w:tc>
        <w:tc>
          <w:tcPr>
            <w:tcW w:w="691" w:type="dxa"/>
          </w:tcPr>
          <w:p w:rsidR="00EC0F38" w:rsidRDefault="001B52BC" w:rsidP="00BF0D1F">
            <w:pPr>
              <w:spacing w:before="60" w:after="0"/>
              <w:ind w:right="17"/>
              <w:jc w:val="right"/>
              <w:rPr>
                <w:rFonts w:ascii="Times New Roman" w:hAnsi="Times New Roman" w:cs="Times New Roman"/>
                <w:b/>
                <w:sz w:val="24"/>
                <w:szCs w:val="24"/>
                <w:lang w:val="uk-UA"/>
              </w:rPr>
            </w:pPr>
            <w:r>
              <w:rPr>
                <w:rFonts w:ascii="Times New Roman" w:hAnsi="Times New Roman" w:cs="Times New Roman"/>
                <w:b/>
                <w:sz w:val="24"/>
                <w:szCs w:val="24"/>
                <w:lang w:val="uk-UA"/>
              </w:rPr>
              <w:t>27</w:t>
            </w:r>
          </w:p>
        </w:tc>
      </w:tr>
      <w:tr w:rsidR="00EC0F38" w:rsidTr="00BF0D1F">
        <w:tc>
          <w:tcPr>
            <w:tcW w:w="1526" w:type="dxa"/>
            <w:hideMark/>
          </w:tcPr>
          <w:p w:rsidR="00EC0F38" w:rsidRPr="00981240" w:rsidRDefault="00981240" w:rsidP="00BF0D1F">
            <w:pPr>
              <w:spacing w:before="60" w:after="0"/>
              <w:ind w:right="17" w:hanging="255"/>
              <w:jc w:val="center"/>
              <w:rPr>
                <w:rFonts w:ascii="Times New Roman" w:hAnsi="Times New Roman" w:cs="Times New Roman"/>
                <w:b/>
                <w:lang w:val="uk-UA"/>
              </w:rPr>
            </w:pPr>
            <w:r w:rsidRPr="00981240">
              <w:rPr>
                <w:rFonts w:ascii="Times New Roman" w:hAnsi="Times New Roman" w:cs="Times New Roman"/>
                <w:b/>
                <w:lang w:val="uk-UA"/>
              </w:rPr>
              <w:t xml:space="preserve">Section </w:t>
            </w:r>
            <w:r w:rsidR="00EC0F38" w:rsidRPr="00981240">
              <w:rPr>
                <w:rFonts w:ascii="Times New Roman" w:hAnsi="Times New Roman" w:cs="Times New Roman"/>
                <w:b/>
                <w:lang w:val="uk-UA"/>
              </w:rPr>
              <w:t xml:space="preserve"> </w:t>
            </w:r>
            <w:r w:rsidR="00EC0F38" w:rsidRPr="00981240">
              <w:rPr>
                <w:rFonts w:ascii="Times New Roman" w:hAnsi="Times New Roman" w:cs="Times New Roman"/>
                <w:b/>
                <w:lang w:val="en-US"/>
              </w:rPr>
              <w:t>V</w:t>
            </w:r>
            <w:r w:rsidR="00EC0F38" w:rsidRPr="00981240">
              <w:rPr>
                <w:rFonts w:ascii="Times New Roman" w:hAnsi="Times New Roman" w:cs="Times New Roman"/>
                <w:b/>
              </w:rPr>
              <w:t>.</w:t>
            </w:r>
          </w:p>
        </w:tc>
        <w:tc>
          <w:tcPr>
            <w:tcW w:w="7087" w:type="dxa"/>
            <w:hideMark/>
          </w:tcPr>
          <w:p w:rsidR="00EC0F38" w:rsidRDefault="000F5AC0" w:rsidP="000F5AC0">
            <w:pPr>
              <w:spacing w:before="60" w:after="0"/>
              <w:ind w:left="34"/>
              <w:rPr>
                <w:rFonts w:ascii="Times New Roman" w:hAnsi="Times New Roman" w:cs="Times New Roman"/>
                <w:b/>
                <w:sz w:val="24"/>
                <w:szCs w:val="24"/>
                <w:lang w:val="uk-UA"/>
              </w:rPr>
            </w:pPr>
            <w:r w:rsidRPr="000F5AC0">
              <w:rPr>
                <w:rFonts w:ascii="Times New Roman" w:hAnsi="Times New Roman" w:cs="Times New Roman"/>
                <w:b/>
                <w:sz w:val="24"/>
                <w:szCs w:val="24"/>
                <w:lang w:val="uk-UA"/>
              </w:rPr>
              <w:t>Training of teachers (trainers)</w:t>
            </w:r>
            <w:r w:rsidR="00EC0F38">
              <w:rPr>
                <w:rFonts w:ascii="Times New Roman" w:hAnsi="Times New Roman" w:cs="Times New Roman"/>
                <w:b/>
                <w:sz w:val="24"/>
                <w:szCs w:val="24"/>
                <w:lang w:val="uk-UA"/>
              </w:rPr>
              <w:t>…………………………………</w:t>
            </w:r>
          </w:p>
        </w:tc>
        <w:tc>
          <w:tcPr>
            <w:tcW w:w="691" w:type="dxa"/>
          </w:tcPr>
          <w:p w:rsidR="00EC0F38" w:rsidRDefault="001B52BC" w:rsidP="00526EAD">
            <w:pPr>
              <w:spacing w:before="60" w:after="0"/>
              <w:ind w:right="17"/>
              <w:jc w:val="right"/>
              <w:rPr>
                <w:rFonts w:ascii="Times New Roman" w:hAnsi="Times New Roman" w:cs="Times New Roman"/>
                <w:b/>
                <w:sz w:val="24"/>
                <w:szCs w:val="24"/>
                <w:lang w:val="uk-UA"/>
              </w:rPr>
            </w:pPr>
            <w:r>
              <w:rPr>
                <w:rFonts w:ascii="Times New Roman" w:hAnsi="Times New Roman" w:cs="Times New Roman"/>
                <w:b/>
                <w:sz w:val="24"/>
                <w:szCs w:val="24"/>
                <w:lang w:val="uk-UA"/>
              </w:rPr>
              <w:t>31</w:t>
            </w:r>
          </w:p>
        </w:tc>
      </w:tr>
      <w:tr w:rsidR="00EC0F38" w:rsidTr="00BF0D1F">
        <w:tc>
          <w:tcPr>
            <w:tcW w:w="1526" w:type="dxa"/>
            <w:hideMark/>
          </w:tcPr>
          <w:p w:rsidR="00EC0F38" w:rsidRPr="00981240" w:rsidRDefault="00981240" w:rsidP="00981240">
            <w:pPr>
              <w:spacing w:before="60" w:after="0"/>
              <w:ind w:right="17" w:hanging="113"/>
              <w:rPr>
                <w:rFonts w:ascii="Times New Roman" w:hAnsi="Times New Roman" w:cs="Times New Roman"/>
                <w:b/>
                <w:lang w:val="uk-UA"/>
              </w:rPr>
            </w:pPr>
            <w:r>
              <w:rPr>
                <w:rFonts w:ascii="Times New Roman" w:hAnsi="Times New Roman" w:cs="Times New Roman"/>
                <w:b/>
                <w:lang w:val="uk-UA"/>
              </w:rPr>
              <w:t xml:space="preserve">  </w:t>
            </w:r>
            <w:r w:rsidRPr="00981240">
              <w:rPr>
                <w:rFonts w:ascii="Times New Roman" w:hAnsi="Times New Roman" w:cs="Times New Roman"/>
                <w:b/>
                <w:lang w:val="uk-UA"/>
              </w:rPr>
              <w:t>Section</w:t>
            </w:r>
            <w:r w:rsidR="00EC0F38" w:rsidRPr="00981240">
              <w:rPr>
                <w:rFonts w:ascii="Times New Roman" w:hAnsi="Times New Roman" w:cs="Times New Roman"/>
                <w:b/>
                <w:lang w:val="uk-UA"/>
              </w:rPr>
              <w:t xml:space="preserve"> V</w:t>
            </w:r>
            <w:r w:rsidR="00EC0F38" w:rsidRPr="00981240">
              <w:rPr>
                <w:rFonts w:ascii="Times New Roman" w:hAnsi="Times New Roman" w:cs="Times New Roman"/>
                <w:b/>
                <w:lang w:val="en-US"/>
              </w:rPr>
              <w:t>I</w:t>
            </w:r>
            <w:r w:rsidR="00EC0F38" w:rsidRPr="00981240">
              <w:rPr>
                <w:rFonts w:ascii="Times New Roman" w:hAnsi="Times New Roman" w:cs="Times New Roman"/>
                <w:b/>
                <w:lang w:val="uk-UA"/>
              </w:rPr>
              <w:t>.</w:t>
            </w:r>
          </w:p>
        </w:tc>
        <w:tc>
          <w:tcPr>
            <w:tcW w:w="7087" w:type="dxa"/>
            <w:hideMark/>
          </w:tcPr>
          <w:p w:rsidR="00EC0F38" w:rsidRDefault="00293966" w:rsidP="00BF0D1F">
            <w:pPr>
              <w:spacing w:before="60" w:after="0"/>
              <w:jc w:val="both"/>
              <w:rPr>
                <w:rFonts w:ascii="Times New Roman" w:hAnsi="Times New Roman" w:cs="Times New Roman"/>
                <w:b/>
                <w:sz w:val="24"/>
                <w:szCs w:val="24"/>
                <w:lang w:val="uk-UA"/>
              </w:rPr>
            </w:pPr>
            <w:r w:rsidRPr="00293966">
              <w:rPr>
                <w:rFonts w:ascii="Times New Roman" w:hAnsi="Times New Roman" w:cs="Times New Roman"/>
                <w:b/>
                <w:sz w:val="24"/>
                <w:szCs w:val="24"/>
                <w:lang w:val="uk-UA"/>
              </w:rPr>
              <w:t xml:space="preserve">Research and methodological activities </w:t>
            </w:r>
            <w:r>
              <w:rPr>
                <w:rFonts w:ascii="Times New Roman" w:hAnsi="Times New Roman" w:cs="Times New Roman"/>
                <w:b/>
                <w:sz w:val="24"/>
                <w:szCs w:val="24"/>
                <w:lang w:val="uk-UA"/>
              </w:rPr>
              <w:t>………….</w:t>
            </w:r>
            <w:r w:rsidR="00EC0F38">
              <w:rPr>
                <w:rFonts w:ascii="Times New Roman" w:hAnsi="Times New Roman" w:cs="Times New Roman"/>
                <w:b/>
                <w:sz w:val="24"/>
                <w:szCs w:val="24"/>
                <w:lang w:val="uk-UA"/>
              </w:rPr>
              <w:t>……………</w:t>
            </w:r>
          </w:p>
        </w:tc>
        <w:tc>
          <w:tcPr>
            <w:tcW w:w="691" w:type="dxa"/>
          </w:tcPr>
          <w:p w:rsidR="00EC0F38" w:rsidRPr="008800EE" w:rsidRDefault="001B52BC" w:rsidP="00BF0D1F">
            <w:pPr>
              <w:spacing w:before="60" w:after="0"/>
              <w:ind w:right="17"/>
              <w:jc w:val="right"/>
              <w:rPr>
                <w:rFonts w:ascii="Times New Roman" w:hAnsi="Times New Roman" w:cs="Times New Roman"/>
                <w:b/>
                <w:sz w:val="24"/>
                <w:szCs w:val="24"/>
                <w:lang w:val="uk-UA"/>
              </w:rPr>
            </w:pPr>
            <w:r>
              <w:rPr>
                <w:rFonts w:ascii="Times New Roman" w:hAnsi="Times New Roman" w:cs="Times New Roman"/>
                <w:b/>
                <w:sz w:val="24"/>
                <w:szCs w:val="24"/>
                <w:lang w:val="uk-UA"/>
              </w:rPr>
              <w:t>32</w:t>
            </w:r>
          </w:p>
        </w:tc>
      </w:tr>
      <w:tr w:rsidR="00EC0F38" w:rsidTr="00BF0D1F">
        <w:tc>
          <w:tcPr>
            <w:tcW w:w="1526" w:type="dxa"/>
            <w:hideMark/>
          </w:tcPr>
          <w:p w:rsidR="00EC0F38" w:rsidRPr="00981240" w:rsidRDefault="00981240" w:rsidP="00BF0D1F">
            <w:pPr>
              <w:spacing w:before="60" w:after="0"/>
              <w:ind w:right="17" w:hanging="112"/>
              <w:jc w:val="center"/>
              <w:rPr>
                <w:rFonts w:ascii="Times New Roman" w:hAnsi="Times New Roman" w:cs="Times New Roman"/>
                <w:b/>
                <w:lang w:val="uk-UA"/>
              </w:rPr>
            </w:pPr>
            <w:r w:rsidRPr="00981240">
              <w:rPr>
                <w:rFonts w:ascii="Times New Roman" w:hAnsi="Times New Roman" w:cs="Times New Roman"/>
                <w:b/>
                <w:lang w:val="uk-UA"/>
              </w:rPr>
              <w:t>Section</w:t>
            </w:r>
            <w:r w:rsidR="00EC0F38" w:rsidRPr="00981240">
              <w:rPr>
                <w:rFonts w:ascii="Times New Roman" w:hAnsi="Times New Roman" w:cs="Times New Roman"/>
                <w:b/>
                <w:lang w:val="uk-UA"/>
              </w:rPr>
              <w:t xml:space="preserve"> V</w:t>
            </w:r>
            <w:r w:rsidR="00EC0F38" w:rsidRPr="00981240">
              <w:rPr>
                <w:rFonts w:ascii="Times New Roman" w:hAnsi="Times New Roman" w:cs="Times New Roman"/>
                <w:b/>
                <w:lang w:val="en-US"/>
              </w:rPr>
              <w:t>I</w:t>
            </w:r>
            <w:r w:rsidR="00EC0F38" w:rsidRPr="00981240">
              <w:rPr>
                <w:rFonts w:ascii="Times New Roman" w:hAnsi="Times New Roman" w:cs="Times New Roman"/>
                <w:b/>
                <w:lang w:val="uk-UA"/>
              </w:rPr>
              <w:t>І.</w:t>
            </w:r>
          </w:p>
        </w:tc>
        <w:tc>
          <w:tcPr>
            <w:tcW w:w="7087" w:type="dxa"/>
            <w:hideMark/>
          </w:tcPr>
          <w:p w:rsidR="00EC0F38" w:rsidRDefault="00293966" w:rsidP="00BF0D1F">
            <w:pPr>
              <w:spacing w:before="60" w:after="0"/>
              <w:ind w:right="17"/>
              <w:jc w:val="both"/>
              <w:rPr>
                <w:rFonts w:ascii="Times New Roman" w:hAnsi="Times New Roman" w:cs="Times New Roman"/>
                <w:b/>
                <w:sz w:val="24"/>
                <w:szCs w:val="24"/>
              </w:rPr>
            </w:pPr>
            <w:r w:rsidRPr="00293966">
              <w:rPr>
                <w:rFonts w:ascii="Times New Roman" w:hAnsi="Times New Roman" w:cs="Times New Roman"/>
                <w:b/>
                <w:sz w:val="24"/>
                <w:szCs w:val="24"/>
                <w:lang w:val="uk-UA"/>
              </w:rPr>
              <w:t xml:space="preserve">International cooperation </w:t>
            </w:r>
            <w:r>
              <w:rPr>
                <w:rFonts w:ascii="Times New Roman" w:hAnsi="Times New Roman" w:cs="Times New Roman"/>
                <w:b/>
                <w:sz w:val="24"/>
                <w:szCs w:val="24"/>
                <w:lang w:val="uk-UA"/>
              </w:rPr>
              <w:t>..</w:t>
            </w:r>
            <w:r w:rsidR="00EC0F38">
              <w:rPr>
                <w:rFonts w:ascii="Times New Roman" w:hAnsi="Times New Roman" w:cs="Times New Roman"/>
                <w:b/>
                <w:sz w:val="24"/>
                <w:szCs w:val="24"/>
                <w:lang w:val="uk-UA"/>
              </w:rPr>
              <w:t>……………………………</w:t>
            </w:r>
            <w:r w:rsidR="00B2779A">
              <w:rPr>
                <w:rFonts w:ascii="Times New Roman" w:hAnsi="Times New Roman" w:cs="Times New Roman"/>
                <w:b/>
                <w:sz w:val="24"/>
                <w:szCs w:val="24"/>
                <w:lang w:val="uk-UA"/>
              </w:rPr>
              <w:t>...</w:t>
            </w:r>
            <w:r w:rsidR="00EC0F38">
              <w:rPr>
                <w:rFonts w:ascii="Times New Roman" w:hAnsi="Times New Roman" w:cs="Times New Roman"/>
                <w:b/>
                <w:sz w:val="24"/>
                <w:szCs w:val="24"/>
                <w:lang w:val="uk-UA"/>
              </w:rPr>
              <w:t>………</w:t>
            </w:r>
            <w:r w:rsidR="00EC0F38">
              <w:rPr>
                <w:rFonts w:ascii="Times New Roman" w:hAnsi="Times New Roman" w:cs="Times New Roman"/>
                <w:b/>
                <w:sz w:val="24"/>
                <w:szCs w:val="24"/>
                <w:lang w:val="en-US"/>
              </w:rPr>
              <w:t>.</w:t>
            </w:r>
            <w:r w:rsidR="00EC0F38">
              <w:rPr>
                <w:rFonts w:ascii="Times New Roman" w:hAnsi="Times New Roman" w:cs="Times New Roman"/>
                <w:b/>
                <w:sz w:val="24"/>
                <w:szCs w:val="24"/>
              </w:rPr>
              <w:t>.</w:t>
            </w:r>
          </w:p>
        </w:tc>
        <w:tc>
          <w:tcPr>
            <w:tcW w:w="691" w:type="dxa"/>
            <w:hideMark/>
          </w:tcPr>
          <w:p w:rsidR="00EC0F38" w:rsidRDefault="001B52BC" w:rsidP="00BF0D1F">
            <w:pPr>
              <w:spacing w:before="60" w:after="0"/>
              <w:ind w:right="17"/>
              <w:jc w:val="right"/>
              <w:rPr>
                <w:rFonts w:ascii="Times New Roman" w:hAnsi="Times New Roman" w:cs="Times New Roman"/>
                <w:b/>
                <w:sz w:val="24"/>
                <w:szCs w:val="24"/>
                <w:lang w:val="uk-UA"/>
              </w:rPr>
            </w:pPr>
            <w:r>
              <w:rPr>
                <w:rFonts w:ascii="Times New Roman" w:hAnsi="Times New Roman" w:cs="Times New Roman"/>
                <w:b/>
                <w:sz w:val="24"/>
                <w:szCs w:val="24"/>
                <w:lang w:val="uk-UA"/>
              </w:rPr>
              <w:t>58</w:t>
            </w:r>
          </w:p>
        </w:tc>
      </w:tr>
      <w:tr w:rsidR="00EC0F38" w:rsidTr="00BF0D1F">
        <w:tc>
          <w:tcPr>
            <w:tcW w:w="1526" w:type="dxa"/>
            <w:hideMark/>
          </w:tcPr>
          <w:p w:rsidR="00EC0F38" w:rsidRPr="00981240" w:rsidRDefault="00981240" w:rsidP="00981240">
            <w:pPr>
              <w:spacing w:before="60" w:after="0"/>
              <w:ind w:right="17"/>
              <w:rPr>
                <w:rFonts w:ascii="Times New Roman" w:hAnsi="Times New Roman" w:cs="Times New Roman"/>
                <w:b/>
                <w:lang w:val="uk-UA"/>
              </w:rPr>
            </w:pPr>
            <w:r w:rsidRPr="00981240">
              <w:rPr>
                <w:rFonts w:ascii="Times New Roman" w:hAnsi="Times New Roman" w:cs="Times New Roman"/>
                <w:b/>
                <w:lang w:val="uk-UA"/>
              </w:rPr>
              <w:t>Section</w:t>
            </w:r>
            <w:r w:rsidR="00EC0F38" w:rsidRPr="00981240">
              <w:rPr>
                <w:rFonts w:ascii="Times New Roman" w:hAnsi="Times New Roman" w:cs="Times New Roman"/>
                <w:b/>
                <w:lang w:val="uk-UA"/>
              </w:rPr>
              <w:t xml:space="preserve"> VІІ</w:t>
            </w:r>
            <w:r w:rsidR="00EC0F38" w:rsidRPr="00981240">
              <w:rPr>
                <w:rFonts w:ascii="Times New Roman" w:hAnsi="Times New Roman" w:cs="Times New Roman"/>
                <w:b/>
                <w:lang w:val="en-US"/>
              </w:rPr>
              <w:t>I</w:t>
            </w:r>
            <w:r w:rsidR="00EC0F38" w:rsidRPr="00981240">
              <w:rPr>
                <w:rFonts w:ascii="Times New Roman" w:hAnsi="Times New Roman" w:cs="Times New Roman"/>
                <w:b/>
                <w:lang w:val="uk-UA"/>
              </w:rPr>
              <w:t>.</w:t>
            </w:r>
          </w:p>
        </w:tc>
        <w:tc>
          <w:tcPr>
            <w:tcW w:w="7087" w:type="dxa"/>
            <w:hideMark/>
          </w:tcPr>
          <w:p w:rsidR="00EC0F38" w:rsidRDefault="00293966" w:rsidP="00BF0D1F">
            <w:pPr>
              <w:spacing w:before="60" w:after="0"/>
              <w:jc w:val="both"/>
              <w:rPr>
                <w:rFonts w:ascii="Times New Roman" w:hAnsi="Times New Roman" w:cs="Times New Roman"/>
                <w:b/>
                <w:sz w:val="24"/>
                <w:szCs w:val="24"/>
              </w:rPr>
            </w:pPr>
            <w:r w:rsidRPr="00293966">
              <w:rPr>
                <w:rFonts w:ascii="Times New Roman" w:hAnsi="Times New Roman" w:cs="Times New Roman"/>
                <w:b/>
                <w:sz w:val="24"/>
                <w:szCs w:val="24"/>
                <w:lang w:val="uk-UA"/>
              </w:rPr>
              <w:t xml:space="preserve">Information support of activities </w:t>
            </w:r>
            <w:r>
              <w:rPr>
                <w:rFonts w:ascii="Times New Roman" w:hAnsi="Times New Roman" w:cs="Times New Roman"/>
                <w:b/>
                <w:sz w:val="24"/>
                <w:szCs w:val="24"/>
                <w:lang w:val="uk-UA"/>
              </w:rPr>
              <w:t>……</w:t>
            </w:r>
            <w:r w:rsidR="00B2779A">
              <w:rPr>
                <w:rFonts w:ascii="Times New Roman" w:hAnsi="Times New Roman" w:cs="Times New Roman"/>
                <w:b/>
                <w:sz w:val="24"/>
                <w:szCs w:val="24"/>
                <w:lang w:val="uk-UA"/>
              </w:rPr>
              <w:t>………..</w:t>
            </w:r>
            <w:r w:rsidR="00EC0F38">
              <w:rPr>
                <w:rFonts w:ascii="Times New Roman" w:hAnsi="Times New Roman" w:cs="Times New Roman"/>
                <w:b/>
                <w:sz w:val="24"/>
                <w:szCs w:val="24"/>
                <w:lang w:val="uk-UA"/>
              </w:rPr>
              <w:t>…………………</w:t>
            </w:r>
          </w:p>
        </w:tc>
        <w:tc>
          <w:tcPr>
            <w:tcW w:w="691" w:type="dxa"/>
            <w:hideMark/>
          </w:tcPr>
          <w:p w:rsidR="00EC0F38" w:rsidRDefault="001B52BC" w:rsidP="00BF0D1F">
            <w:pPr>
              <w:spacing w:after="0"/>
              <w:ind w:right="17"/>
              <w:jc w:val="right"/>
              <w:rPr>
                <w:rFonts w:ascii="Times New Roman" w:hAnsi="Times New Roman" w:cs="Times New Roman"/>
                <w:b/>
                <w:sz w:val="24"/>
                <w:szCs w:val="24"/>
                <w:lang w:val="uk-UA"/>
              </w:rPr>
            </w:pPr>
            <w:r>
              <w:rPr>
                <w:rFonts w:ascii="Times New Roman" w:hAnsi="Times New Roman" w:cs="Times New Roman"/>
                <w:b/>
                <w:sz w:val="24"/>
                <w:szCs w:val="24"/>
                <w:lang w:val="uk-UA"/>
              </w:rPr>
              <w:t>64</w:t>
            </w:r>
          </w:p>
        </w:tc>
      </w:tr>
      <w:tr w:rsidR="00EC0F38" w:rsidTr="00BF0D1F">
        <w:tc>
          <w:tcPr>
            <w:tcW w:w="1526" w:type="dxa"/>
            <w:hideMark/>
          </w:tcPr>
          <w:p w:rsidR="00EC0F38" w:rsidRPr="00981240" w:rsidRDefault="00981240" w:rsidP="00BF0D1F">
            <w:pPr>
              <w:spacing w:before="60" w:after="0"/>
              <w:ind w:right="17" w:hanging="113"/>
              <w:jc w:val="center"/>
              <w:rPr>
                <w:rFonts w:ascii="Times New Roman" w:hAnsi="Times New Roman" w:cs="Times New Roman"/>
                <w:b/>
                <w:lang w:val="uk-UA"/>
              </w:rPr>
            </w:pPr>
            <w:r>
              <w:rPr>
                <w:rFonts w:ascii="Times New Roman" w:hAnsi="Times New Roman" w:cs="Times New Roman"/>
                <w:b/>
                <w:sz w:val="24"/>
                <w:szCs w:val="24"/>
                <w:lang w:val="uk-UA"/>
              </w:rPr>
              <w:t>Section</w:t>
            </w:r>
            <w:r w:rsidRPr="00981240">
              <w:rPr>
                <w:rFonts w:ascii="Times New Roman" w:hAnsi="Times New Roman" w:cs="Times New Roman"/>
                <w:b/>
                <w:lang w:val="uk-UA"/>
              </w:rPr>
              <w:t xml:space="preserve"> </w:t>
            </w:r>
            <w:r w:rsidR="00EC0F38" w:rsidRPr="00981240">
              <w:rPr>
                <w:rFonts w:ascii="Times New Roman" w:hAnsi="Times New Roman" w:cs="Times New Roman"/>
                <w:b/>
                <w:lang w:val="uk-UA"/>
              </w:rPr>
              <w:t>ІХ.</w:t>
            </w:r>
          </w:p>
        </w:tc>
        <w:tc>
          <w:tcPr>
            <w:tcW w:w="7087" w:type="dxa"/>
            <w:hideMark/>
          </w:tcPr>
          <w:p w:rsidR="00EC0F38" w:rsidRDefault="00293966" w:rsidP="00BF0D1F">
            <w:pPr>
              <w:spacing w:before="60" w:after="0"/>
              <w:ind w:right="17"/>
              <w:jc w:val="both"/>
              <w:rPr>
                <w:rFonts w:ascii="Times New Roman" w:hAnsi="Times New Roman" w:cs="Times New Roman"/>
                <w:b/>
                <w:sz w:val="24"/>
                <w:szCs w:val="24"/>
                <w:lang w:val="uk-UA"/>
              </w:rPr>
            </w:pPr>
            <w:r w:rsidRPr="00293966">
              <w:rPr>
                <w:rFonts w:ascii="Times New Roman" w:hAnsi="Times New Roman" w:cs="Times New Roman"/>
                <w:b/>
                <w:sz w:val="24"/>
                <w:szCs w:val="24"/>
                <w:lang w:val="uk-UA"/>
              </w:rPr>
              <w:t xml:space="preserve">Organisational, financial and economic support of activities </w:t>
            </w:r>
            <w:r w:rsidR="00B2779A">
              <w:rPr>
                <w:rFonts w:ascii="Times New Roman" w:hAnsi="Times New Roman" w:cs="Times New Roman"/>
                <w:b/>
                <w:sz w:val="24"/>
                <w:szCs w:val="24"/>
                <w:lang w:val="uk-UA"/>
              </w:rPr>
              <w:t>……….</w:t>
            </w:r>
            <w:r w:rsidR="00EC0F38">
              <w:rPr>
                <w:rFonts w:ascii="Times New Roman" w:hAnsi="Times New Roman" w:cs="Times New Roman"/>
                <w:b/>
                <w:sz w:val="24"/>
                <w:szCs w:val="24"/>
                <w:lang w:val="uk-UA"/>
              </w:rPr>
              <w:t>.……………………………………………………</w:t>
            </w:r>
          </w:p>
        </w:tc>
        <w:tc>
          <w:tcPr>
            <w:tcW w:w="691" w:type="dxa"/>
          </w:tcPr>
          <w:p w:rsidR="00EC0F38" w:rsidRDefault="00EC0F38" w:rsidP="00BF0D1F">
            <w:pPr>
              <w:spacing w:after="0"/>
              <w:ind w:right="17"/>
              <w:jc w:val="right"/>
              <w:rPr>
                <w:rFonts w:ascii="Times New Roman" w:hAnsi="Times New Roman" w:cs="Times New Roman"/>
                <w:b/>
                <w:sz w:val="24"/>
                <w:szCs w:val="24"/>
                <w:lang w:val="uk-UA"/>
              </w:rPr>
            </w:pPr>
          </w:p>
          <w:p w:rsidR="00EC0F38" w:rsidRDefault="001B52BC" w:rsidP="00BF0D1F">
            <w:pPr>
              <w:spacing w:after="0"/>
              <w:ind w:right="17"/>
              <w:jc w:val="right"/>
              <w:rPr>
                <w:rFonts w:ascii="Times New Roman" w:hAnsi="Times New Roman" w:cs="Times New Roman"/>
                <w:b/>
                <w:sz w:val="24"/>
                <w:szCs w:val="24"/>
                <w:lang w:val="uk-UA"/>
              </w:rPr>
            </w:pPr>
            <w:r>
              <w:rPr>
                <w:rFonts w:ascii="Times New Roman" w:hAnsi="Times New Roman" w:cs="Times New Roman"/>
                <w:b/>
                <w:sz w:val="24"/>
                <w:szCs w:val="24"/>
                <w:lang w:val="uk-UA"/>
              </w:rPr>
              <w:t>65</w:t>
            </w:r>
          </w:p>
        </w:tc>
      </w:tr>
      <w:tr w:rsidR="00EC0F38" w:rsidRPr="009B4CC0" w:rsidTr="00BF0D1F">
        <w:tc>
          <w:tcPr>
            <w:tcW w:w="1526" w:type="dxa"/>
          </w:tcPr>
          <w:p w:rsidR="00EC0F38" w:rsidRPr="00981240" w:rsidRDefault="0071172E" w:rsidP="0071172E">
            <w:pPr>
              <w:spacing w:before="60" w:after="0"/>
              <w:ind w:right="17" w:hanging="113"/>
              <w:jc w:val="center"/>
              <w:rPr>
                <w:rFonts w:ascii="Times New Roman" w:hAnsi="Times New Roman" w:cs="Times New Roman"/>
                <w:b/>
                <w:lang w:val="uk-UA"/>
              </w:rPr>
            </w:pPr>
            <w:r>
              <w:rPr>
                <w:rFonts w:ascii="Times New Roman" w:hAnsi="Times New Roman" w:cs="Times New Roman"/>
                <w:b/>
                <w:sz w:val="24"/>
                <w:szCs w:val="24"/>
                <w:lang w:val="uk-UA"/>
              </w:rPr>
              <w:t>Section</w:t>
            </w:r>
            <w:r w:rsidRPr="00981240">
              <w:rPr>
                <w:rFonts w:ascii="Times New Roman" w:hAnsi="Times New Roman" w:cs="Times New Roman"/>
                <w:b/>
                <w:lang w:val="uk-UA"/>
              </w:rPr>
              <w:t xml:space="preserve"> </w:t>
            </w:r>
            <w:r w:rsidR="00EC0F38" w:rsidRPr="00981240">
              <w:rPr>
                <w:rFonts w:ascii="Times New Roman" w:hAnsi="Times New Roman" w:cs="Times New Roman"/>
                <w:b/>
                <w:lang w:val="uk-UA"/>
              </w:rPr>
              <w:t>:</w:t>
            </w:r>
          </w:p>
        </w:tc>
        <w:tc>
          <w:tcPr>
            <w:tcW w:w="7087" w:type="dxa"/>
          </w:tcPr>
          <w:p w:rsidR="00EC0F38" w:rsidRDefault="00EC0F38" w:rsidP="00252FC0">
            <w:pPr>
              <w:widowControl w:val="0"/>
              <w:autoSpaceDE w:val="0"/>
              <w:autoSpaceDN w:val="0"/>
              <w:adjustRightInd w:val="0"/>
              <w:spacing w:before="60" w:after="0"/>
              <w:jc w:val="both"/>
              <w:rPr>
                <w:rFonts w:ascii="Times New Roman" w:hAnsi="Times New Roman" w:cs="Times New Roman"/>
                <w:b/>
                <w:sz w:val="24"/>
                <w:szCs w:val="24"/>
                <w:lang w:val="uk-UA"/>
              </w:rPr>
            </w:pPr>
            <w:r>
              <w:rPr>
                <w:rFonts w:ascii="Times New Roman" w:hAnsi="Times New Roman"/>
                <w:b/>
                <w:sz w:val="24"/>
                <w:szCs w:val="24"/>
                <w:lang w:val="uk-UA"/>
              </w:rPr>
              <w:t>1</w:t>
            </w:r>
            <w:r w:rsidR="00293966">
              <w:rPr>
                <w:rFonts w:ascii="Times New Roman" w:hAnsi="Times New Roman"/>
                <w:b/>
                <w:sz w:val="24"/>
                <w:szCs w:val="24"/>
                <w:lang w:val="uk-UA"/>
              </w:rPr>
              <w:t xml:space="preserve">. </w:t>
            </w:r>
            <w:r w:rsidR="00293966" w:rsidRPr="00293966">
              <w:rPr>
                <w:rFonts w:ascii="Times New Roman" w:hAnsi="Times New Roman"/>
                <w:b/>
                <w:sz w:val="24"/>
                <w:szCs w:val="24"/>
                <w:lang w:val="uk-UA"/>
              </w:rPr>
              <w:t>Generalised data on judicial training and advanced training at the National School of Judges of Ukraine in 2021</w:t>
            </w:r>
            <w:r w:rsidR="00293966">
              <w:rPr>
                <w:rFonts w:ascii="Times New Roman" w:hAnsi="Times New Roman"/>
                <w:b/>
                <w:sz w:val="24"/>
                <w:szCs w:val="24"/>
                <w:lang w:val="uk-UA"/>
              </w:rPr>
              <w:t xml:space="preserve">  </w:t>
            </w:r>
            <w:r w:rsidR="00293966" w:rsidRPr="00293966">
              <w:rPr>
                <w:rFonts w:ascii="Times New Roman" w:hAnsi="Times New Roman"/>
                <w:b/>
                <w:sz w:val="24"/>
                <w:szCs w:val="24"/>
                <w:lang w:val="uk-UA"/>
              </w:rPr>
              <w:t>..</w:t>
            </w:r>
            <w:r w:rsidRPr="00DA6DD7">
              <w:rPr>
                <w:rFonts w:ascii="Times New Roman" w:hAnsi="Times New Roman"/>
                <w:b/>
                <w:sz w:val="24"/>
                <w:szCs w:val="24"/>
                <w:lang w:val="uk-UA"/>
              </w:rPr>
              <w:t>………………………………………………</w:t>
            </w:r>
            <w:r w:rsidR="00B2779A">
              <w:rPr>
                <w:rFonts w:ascii="Times New Roman" w:hAnsi="Times New Roman"/>
                <w:b/>
                <w:sz w:val="24"/>
                <w:szCs w:val="24"/>
                <w:lang w:val="uk-UA"/>
              </w:rPr>
              <w:t>...</w:t>
            </w:r>
            <w:r w:rsidRPr="00DA6DD7">
              <w:rPr>
                <w:rFonts w:ascii="Times New Roman" w:hAnsi="Times New Roman"/>
                <w:b/>
                <w:sz w:val="24"/>
                <w:szCs w:val="24"/>
                <w:lang w:val="uk-UA"/>
              </w:rPr>
              <w:t>……..</w:t>
            </w:r>
            <w:r w:rsidRPr="00DA6DD7">
              <w:rPr>
                <w:rFonts w:ascii="Times New Roman" w:hAnsi="Times New Roman"/>
                <w:b/>
                <w:sz w:val="24"/>
                <w:szCs w:val="24"/>
                <w:lang w:val="uk-UA"/>
              </w:rPr>
              <w:tab/>
            </w:r>
          </w:p>
        </w:tc>
        <w:tc>
          <w:tcPr>
            <w:tcW w:w="691" w:type="dxa"/>
          </w:tcPr>
          <w:p w:rsidR="00EC0F38" w:rsidRDefault="00EC0F38" w:rsidP="00BF0D1F">
            <w:pPr>
              <w:spacing w:before="60" w:after="0"/>
              <w:ind w:right="17"/>
              <w:jc w:val="right"/>
              <w:rPr>
                <w:rFonts w:ascii="Times New Roman" w:hAnsi="Times New Roman" w:cs="Times New Roman"/>
                <w:b/>
                <w:sz w:val="24"/>
                <w:szCs w:val="24"/>
                <w:lang w:val="uk-UA"/>
              </w:rPr>
            </w:pPr>
          </w:p>
        </w:tc>
      </w:tr>
      <w:tr w:rsidR="00EC0F38" w:rsidRPr="009B4CC0" w:rsidTr="00BF0D1F">
        <w:tc>
          <w:tcPr>
            <w:tcW w:w="1526" w:type="dxa"/>
          </w:tcPr>
          <w:p w:rsidR="00EC0F38" w:rsidRDefault="00EC0F38" w:rsidP="00BF0D1F">
            <w:pPr>
              <w:spacing w:before="60" w:after="0"/>
              <w:ind w:right="17" w:hanging="113"/>
              <w:jc w:val="center"/>
              <w:rPr>
                <w:rFonts w:ascii="Times New Roman" w:hAnsi="Times New Roman" w:cs="Times New Roman"/>
                <w:b/>
                <w:sz w:val="24"/>
                <w:szCs w:val="24"/>
                <w:lang w:val="uk-UA"/>
              </w:rPr>
            </w:pPr>
          </w:p>
        </w:tc>
        <w:tc>
          <w:tcPr>
            <w:tcW w:w="7087" w:type="dxa"/>
          </w:tcPr>
          <w:p w:rsidR="00EC0F38" w:rsidRDefault="00EC0F38" w:rsidP="00BF0D1F">
            <w:pPr>
              <w:spacing w:before="60" w:after="0"/>
              <w:ind w:right="17"/>
              <w:jc w:val="both"/>
              <w:rPr>
                <w:rFonts w:ascii="Times New Roman" w:hAnsi="Times New Roman" w:cs="Times New Roman"/>
                <w:b/>
                <w:sz w:val="24"/>
                <w:szCs w:val="24"/>
                <w:lang w:val="uk-UA"/>
              </w:rPr>
            </w:pPr>
            <w:r w:rsidRPr="00CB3203">
              <w:rPr>
                <w:rFonts w:ascii="Times New Roman" w:hAnsi="Times New Roman" w:cs="Times New Roman"/>
                <w:b/>
                <w:sz w:val="24"/>
                <w:szCs w:val="24"/>
                <w:lang w:val="uk-UA"/>
              </w:rPr>
              <w:t xml:space="preserve">2. </w:t>
            </w:r>
            <w:r w:rsidR="00293966" w:rsidRPr="00293966">
              <w:rPr>
                <w:rFonts w:ascii="Times New Roman" w:hAnsi="Times New Roman" w:cs="Times New Roman"/>
                <w:b/>
                <w:sz w:val="24"/>
                <w:szCs w:val="24"/>
                <w:lang w:val="uk-UA"/>
              </w:rPr>
              <w:t xml:space="preserve">Generalised data on the training of court staff and advanced training at the National School of Judges in 2021 </w:t>
            </w:r>
            <w:r w:rsidRPr="00CB3203">
              <w:rPr>
                <w:rFonts w:ascii="Times New Roman" w:hAnsi="Times New Roman" w:cs="Times New Roman"/>
                <w:b/>
                <w:sz w:val="24"/>
                <w:szCs w:val="24"/>
                <w:lang w:val="uk-UA"/>
              </w:rPr>
              <w:t xml:space="preserve">………..……………………………......           </w:t>
            </w:r>
          </w:p>
        </w:tc>
        <w:tc>
          <w:tcPr>
            <w:tcW w:w="691" w:type="dxa"/>
          </w:tcPr>
          <w:p w:rsidR="00EC0F38" w:rsidRDefault="00EC0F38" w:rsidP="00BF0D1F">
            <w:pPr>
              <w:spacing w:before="60" w:after="0"/>
              <w:ind w:right="17"/>
              <w:jc w:val="right"/>
              <w:rPr>
                <w:rFonts w:ascii="Times New Roman" w:hAnsi="Times New Roman" w:cs="Times New Roman"/>
                <w:b/>
                <w:sz w:val="24"/>
                <w:szCs w:val="24"/>
                <w:lang w:val="uk-UA"/>
              </w:rPr>
            </w:pPr>
          </w:p>
        </w:tc>
      </w:tr>
      <w:tr w:rsidR="00EC0F38" w:rsidRPr="009B4CC0" w:rsidTr="00BF0D1F">
        <w:tc>
          <w:tcPr>
            <w:tcW w:w="1526" w:type="dxa"/>
          </w:tcPr>
          <w:p w:rsidR="00EC0F38" w:rsidRDefault="00EC0F38" w:rsidP="00BF0D1F">
            <w:pPr>
              <w:spacing w:before="60" w:after="0"/>
              <w:ind w:right="17" w:hanging="113"/>
              <w:jc w:val="center"/>
              <w:rPr>
                <w:rFonts w:ascii="Times New Roman" w:hAnsi="Times New Roman" w:cs="Times New Roman"/>
                <w:b/>
                <w:sz w:val="24"/>
                <w:szCs w:val="24"/>
                <w:lang w:val="uk-UA"/>
              </w:rPr>
            </w:pPr>
          </w:p>
        </w:tc>
        <w:tc>
          <w:tcPr>
            <w:tcW w:w="7087" w:type="dxa"/>
          </w:tcPr>
          <w:p w:rsidR="00EC0F38" w:rsidRDefault="00EC0F38" w:rsidP="00BF0D1F">
            <w:pPr>
              <w:widowControl w:val="0"/>
              <w:autoSpaceDE w:val="0"/>
              <w:autoSpaceDN w:val="0"/>
              <w:adjustRightInd w:val="0"/>
              <w:spacing w:before="60" w:after="0"/>
              <w:jc w:val="both"/>
              <w:rPr>
                <w:rFonts w:ascii="Times New Roman" w:hAnsi="Times New Roman" w:cs="Times New Roman"/>
                <w:b/>
                <w:sz w:val="24"/>
                <w:szCs w:val="24"/>
                <w:lang w:val="uk-UA"/>
              </w:rPr>
            </w:pPr>
          </w:p>
        </w:tc>
        <w:tc>
          <w:tcPr>
            <w:tcW w:w="691" w:type="dxa"/>
          </w:tcPr>
          <w:p w:rsidR="00EC0F38" w:rsidRDefault="00EC0F38" w:rsidP="00BF0D1F">
            <w:pPr>
              <w:spacing w:before="60" w:after="0"/>
              <w:ind w:right="17"/>
              <w:jc w:val="right"/>
              <w:rPr>
                <w:rFonts w:ascii="Times New Roman" w:hAnsi="Times New Roman" w:cs="Times New Roman"/>
                <w:b/>
                <w:sz w:val="24"/>
                <w:szCs w:val="24"/>
                <w:lang w:val="uk-UA"/>
              </w:rPr>
            </w:pPr>
          </w:p>
        </w:tc>
      </w:tr>
    </w:tbl>
    <w:p w:rsidR="0031496E" w:rsidRDefault="0031496E" w:rsidP="00F361C7">
      <w:pPr>
        <w:jc w:val="center"/>
        <w:rPr>
          <w:rFonts w:ascii="Times New Roman" w:hAnsi="Times New Roman" w:cs="Times New Roman"/>
          <w:b/>
          <w:sz w:val="28"/>
          <w:szCs w:val="28"/>
          <w:lang w:val="uk-UA"/>
        </w:rPr>
      </w:pPr>
    </w:p>
    <w:p w:rsidR="005E0C80" w:rsidRDefault="005E0C80" w:rsidP="00F361C7">
      <w:pPr>
        <w:jc w:val="center"/>
        <w:rPr>
          <w:rFonts w:ascii="Times New Roman" w:hAnsi="Times New Roman" w:cs="Times New Roman"/>
          <w:b/>
          <w:sz w:val="28"/>
          <w:szCs w:val="28"/>
          <w:lang w:val="uk-UA"/>
        </w:rPr>
      </w:pPr>
    </w:p>
    <w:p w:rsidR="005E0C80" w:rsidRDefault="005E0C80" w:rsidP="00F361C7">
      <w:pPr>
        <w:jc w:val="center"/>
        <w:rPr>
          <w:rFonts w:ascii="Times New Roman" w:hAnsi="Times New Roman" w:cs="Times New Roman"/>
          <w:b/>
          <w:sz w:val="28"/>
          <w:szCs w:val="28"/>
          <w:lang w:val="uk-UA"/>
        </w:rPr>
      </w:pPr>
    </w:p>
    <w:p w:rsidR="005E0C80" w:rsidRDefault="005E0C80" w:rsidP="00F361C7">
      <w:pPr>
        <w:jc w:val="center"/>
        <w:rPr>
          <w:rFonts w:ascii="Times New Roman" w:hAnsi="Times New Roman" w:cs="Times New Roman"/>
          <w:b/>
          <w:sz w:val="28"/>
          <w:szCs w:val="28"/>
          <w:lang w:val="uk-UA"/>
        </w:rPr>
      </w:pPr>
    </w:p>
    <w:p w:rsidR="005E0C80" w:rsidRDefault="005E0C80" w:rsidP="00F361C7">
      <w:pPr>
        <w:jc w:val="center"/>
        <w:rPr>
          <w:rFonts w:ascii="Times New Roman" w:hAnsi="Times New Roman" w:cs="Times New Roman"/>
          <w:b/>
          <w:sz w:val="28"/>
          <w:szCs w:val="28"/>
          <w:lang w:val="uk-UA"/>
        </w:rPr>
      </w:pPr>
    </w:p>
    <w:p w:rsidR="005E0C80" w:rsidRDefault="005E0C80" w:rsidP="00F361C7">
      <w:pPr>
        <w:jc w:val="center"/>
        <w:rPr>
          <w:rFonts w:ascii="Times New Roman" w:hAnsi="Times New Roman" w:cs="Times New Roman"/>
          <w:b/>
          <w:sz w:val="28"/>
          <w:szCs w:val="28"/>
          <w:lang w:val="uk-UA"/>
        </w:rPr>
      </w:pPr>
    </w:p>
    <w:p w:rsidR="005E0C80" w:rsidRDefault="005E0C80" w:rsidP="00F361C7">
      <w:pPr>
        <w:jc w:val="center"/>
        <w:rPr>
          <w:rFonts w:ascii="Times New Roman" w:hAnsi="Times New Roman" w:cs="Times New Roman"/>
          <w:b/>
          <w:sz w:val="28"/>
          <w:szCs w:val="28"/>
          <w:lang w:val="uk-UA"/>
        </w:rPr>
      </w:pPr>
    </w:p>
    <w:p w:rsidR="005E0C80" w:rsidRDefault="005E0C80" w:rsidP="00F361C7">
      <w:pPr>
        <w:jc w:val="center"/>
        <w:rPr>
          <w:rFonts w:ascii="Times New Roman" w:hAnsi="Times New Roman" w:cs="Times New Roman"/>
          <w:b/>
          <w:sz w:val="28"/>
          <w:szCs w:val="28"/>
          <w:lang w:val="uk-UA"/>
        </w:rPr>
      </w:pPr>
    </w:p>
    <w:p w:rsidR="005E0C80" w:rsidRDefault="005E0C80" w:rsidP="00F361C7">
      <w:pPr>
        <w:jc w:val="center"/>
        <w:rPr>
          <w:rFonts w:ascii="Times New Roman" w:hAnsi="Times New Roman" w:cs="Times New Roman"/>
          <w:b/>
          <w:sz w:val="28"/>
          <w:szCs w:val="28"/>
          <w:lang w:val="uk-UA"/>
        </w:rPr>
      </w:pPr>
    </w:p>
    <w:p w:rsidR="00326377" w:rsidRDefault="00326377" w:rsidP="00F361C7">
      <w:pPr>
        <w:jc w:val="center"/>
        <w:rPr>
          <w:rFonts w:ascii="Times New Roman" w:hAnsi="Times New Roman" w:cs="Times New Roman"/>
          <w:b/>
          <w:sz w:val="28"/>
          <w:szCs w:val="28"/>
          <w:lang w:val="uk-UA"/>
        </w:rPr>
      </w:pPr>
    </w:p>
    <w:p w:rsidR="00326377" w:rsidRDefault="00326377" w:rsidP="00F361C7">
      <w:pPr>
        <w:jc w:val="center"/>
        <w:rPr>
          <w:rFonts w:ascii="Times New Roman" w:hAnsi="Times New Roman" w:cs="Times New Roman"/>
          <w:b/>
          <w:sz w:val="28"/>
          <w:szCs w:val="28"/>
          <w:lang w:val="uk-UA"/>
        </w:rPr>
      </w:pPr>
    </w:p>
    <w:p w:rsidR="00326377" w:rsidRDefault="00326377" w:rsidP="00F361C7">
      <w:pPr>
        <w:jc w:val="center"/>
        <w:rPr>
          <w:rFonts w:ascii="Times New Roman" w:hAnsi="Times New Roman" w:cs="Times New Roman"/>
          <w:b/>
          <w:sz w:val="28"/>
          <w:szCs w:val="28"/>
          <w:lang w:val="uk-UA"/>
        </w:rPr>
      </w:pPr>
    </w:p>
    <w:p w:rsidR="000F5AC0" w:rsidRPr="000F5AC0" w:rsidRDefault="00326377" w:rsidP="00326377">
      <w:pPr>
        <w:spacing w:after="0"/>
        <w:jc w:val="center"/>
        <w:rPr>
          <w:rFonts w:ascii="Times New Roman" w:hAnsi="Times New Roman" w:cs="Times New Roman"/>
          <w:b/>
          <w:sz w:val="28"/>
          <w:szCs w:val="28"/>
          <w:lang w:val="uk-UA"/>
        </w:rPr>
      </w:pPr>
      <w:r>
        <w:rPr>
          <w:rFonts w:ascii="Times New Roman" w:hAnsi="Times New Roman" w:cs="Times New Roman"/>
          <w:b/>
          <w:sz w:val="28"/>
          <w:szCs w:val="28"/>
          <w:lang w:val="uk-UA"/>
        </w:rPr>
        <w:lastRenderedPageBreak/>
        <w:t>INTRODUCTION</w:t>
      </w:r>
    </w:p>
    <w:p w:rsidR="00F02750" w:rsidRDefault="000F5AC0" w:rsidP="000F5AC0">
      <w:pPr>
        <w:spacing w:after="0"/>
        <w:rPr>
          <w:rFonts w:ascii="Times New Roman" w:hAnsi="Times New Roman" w:cs="Times New Roman"/>
          <w:b/>
          <w:sz w:val="28"/>
          <w:szCs w:val="28"/>
          <w:lang w:val="uk-UA"/>
        </w:rPr>
      </w:pPr>
      <w:r w:rsidRPr="000F5AC0">
        <w:rPr>
          <w:rFonts w:ascii="Times New Roman" w:hAnsi="Times New Roman" w:cs="Times New Roman"/>
          <w:b/>
          <w:sz w:val="28"/>
          <w:szCs w:val="28"/>
          <w:lang w:val="uk-UA"/>
        </w:rPr>
        <w:t>DEFINING AND IMPLEMENTING STRATEGIC OBJECTIVES</w:t>
      </w:r>
    </w:p>
    <w:p w:rsidR="00326377" w:rsidRPr="00326377" w:rsidRDefault="00326377" w:rsidP="00326377">
      <w:pPr>
        <w:spacing w:after="100" w:afterAutospacing="1"/>
        <w:ind w:firstLine="709"/>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The main tasks of the National School of Judges of Ukraine (hereinafter referred to as the NSJU, the School) are determined by the Law of Ukraine ‘On the Judiciary and the Status of Judges’, the Strategy for the Development of Judicial Education in Ukraine for 2021-2025, approved by the decision of the Scientific and Methodological Council of the National School of Judges of Ukraine on 18 December 2020, and the NSJU Research and Methodological Work Plan for 2021.</w:t>
      </w:r>
    </w:p>
    <w:p w:rsidR="00326377" w:rsidRDefault="00326377" w:rsidP="00326377">
      <w:pPr>
        <w:spacing w:after="100" w:afterAutospacing="1"/>
        <w:ind w:firstLine="709"/>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 xml:space="preserve">In the context of the COVID-19 quarantine, the NSJS proceeded from the premise that the key tasks are to provide online judicial education, expand the topics and variety of forms of educational products, and flexibility in their use, improve training and alternative forms and methods of judicial education. </w:t>
      </w:r>
    </w:p>
    <w:p w:rsidR="00326377" w:rsidRPr="00326377" w:rsidRDefault="00326377" w:rsidP="00326377">
      <w:pPr>
        <w:spacing w:after="100" w:afterAutospacing="1"/>
        <w:ind w:firstLine="709"/>
        <w:contextualSpacing/>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 xml:space="preserve">The educational and organisational goals of the NCJS were aimed at institutional development of the National School of Judges, improvement of the National Standards of Judicial Education, use of the latest forms and methods of teaching, introduction of the institute of mentoring for newly appointed judges, development of a comprehensive training programme for employees of the Judicial Protection Service. </w:t>
      </w:r>
    </w:p>
    <w:p w:rsidR="00326377" w:rsidRDefault="00326377" w:rsidP="00326377">
      <w:pPr>
        <w:spacing w:after="100" w:afterAutospacing="1"/>
        <w:ind w:firstLine="709"/>
        <w:contextualSpacing/>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Improvement of the National Standards of Judicial Education in 2021 included continuous updating of the content and ensuring innovation of judicial education, implementation of systems for monitoring the quality of judicial education and improvement of the system of regular evaluation of judges based on the results of training, strengthening of scientific and methodological support of the educational process and development of the psychological component in the training of judges and judicial candidates.</w:t>
      </w:r>
    </w:p>
    <w:p w:rsidR="00326377" w:rsidRPr="00326377" w:rsidRDefault="00326377" w:rsidP="00326377">
      <w:pPr>
        <w:spacing w:after="100" w:afterAutospacing="1"/>
        <w:ind w:firstLine="709"/>
        <w:contextualSpacing/>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 xml:space="preserve">In 2021, judges of the High Anti-Corruption Court and the Appeals Chamber of the High Anti-Corruption Court were trained, as well as 69 specialised thematic trainings and workshops mandatory for judges of local and appellate courts of all jurisdictions. During the reporting period, 29 quarterly all-Ukrainian one-day thematic seminars were held, attended by all interested judges of local and appellate courts from all regions of Ukraine. </w:t>
      </w:r>
    </w:p>
    <w:p w:rsidR="00326377" w:rsidRDefault="00326377" w:rsidP="00326377">
      <w:pPr>
        <w:spacing w:after="100" w:afterAutospacing="1"/>
        <w:ind w:firstLine="709"/>
        <w:contextualSpacing/>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In total, in 2021, 227 training and periodic training sessions for judges were held at the expense of the State Budget of Ukraine and international organisations, which covered 8,082 judges in various forms of training.</w:t>
      </w:r>
    </w:p>
    <w:p w:rsidR="00326377" w:rsidRDefault="00326377" w:rsidP="00326377">
      <w:pPr>
        <w:spacing w:after="100" w:afterAutospacing="1"/>
        <w:ind w:firstLine="709"/>
        <w:contextualSpacing/>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 xml:space="preserve">In 2021, the Specialised Training Programme for Judicial Candidates continued to be updated to introduce new forms and methods of teaching, implement new training modules, and improve the quality and effectiveness of judicial education. To this end, 24 meetings of course development groups for six blocks of the special training programme were held, 9 courses were completed, 11 trainings for trainers (ToT) were held and 7 trainings were tested, etc. </w:t>
      </w:r>
    </w:p>
    <w:p w:rsidR="00326377" w:rsidRPr="00326377" w:rsidRDefault="00326377" w:rsidP="00326377">
      <w:pPr>
        <w:spacing w:after="100" w:afterAutospacing="1"/>
        <w:ind w:firstLine="708"/>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 xml:space="preserve">In 2021, special attention was paid to the introduction of new forms and methods of teaching, in particular the development of blended and distance learning, 12 distance </w:t>
      </w:r>
      <w:r w:rsidRPr="00326377">
        <w:rPr>
          <w:rFonts w:ascii="Times New Roman" w:hAnsi="Times New Roman" w:cs="Times New Roman"/>
          <w:sz w:val="28"/>
          <w:szCs w:val="28"/>
          <w:lang w:val="uk-UA"/>
        </w:rPr>
        <w:lastRenderedPageBreak/>
        <w:t>courses for judges were developed, 12 distance courses were tested, and 20 video lectures were prepared. Two methodological trainings for lecturers on how to prepare and conduct trainings, as well as 26 thematic trainings for trainers, were devoted to improving distance learning, and the development of standardised requirements and guidelines for online trainings and seminars continued.</w:t>
      </w:r>
    </w:p>
    <w:p w:rsidR="00326377" w:rsidRPr="00326377" w:rsidRDefault="00326377" w:rsidP="00326377">
      <w:pPr>
        <w:spacing w:after="100" w:afterAutospacing="1"/>
        <w:ind w:firstLine="708"/>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The variety of training products was expanded, including the introduction of interdisciplinary and interagency training practices. For example, 15 trainings were developed for judges, 23 trainings for trainers (ToT) were held, and 16 courses were tested. New forms of training continued to be introduced, including the development of 9 workshops, 2 workshops in the process of development, and the testing of 7 workshops.</w:t>
      </w:r>
    </w:p>
    <w:p w:rsidR="00326377" w:rsidRPr="00326377" w:rsidRDefault="00326377" w:rsidP="00326377">
      <w:pPr>
        <w:spacing w:after="100" w:afterAutospacing="1"/>
        <w:ind w:firstLine="708"/>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 xml:space="preserve">On 20 August 2021, the Comprehensive Training Programme for the Court Security Service and the Procedure for Training of the Court Security Service and the Procedure for Improving their Qualifications were approved. These documents were developed in accordance with the National Standards of Judicial Education, which are based on the core values of the National School of Judges, which are professionalism, innovation, efficiency, leadership and cooperation, responsibility and integrity. In 2021, 102 classes were held, including  </w:t>
      </w:r>
    </w:p>
    <w:p w:rsidR="00326377" w:rsidRDefault="00326377" w:rsidP="00326377">
      <w:pPr>
        <w:spacing w:after="100" w:afterAutospacing="1"/>
        <w:ind w:firstLine="708"/>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51 trainings, 33 seminars, 18 roundtables, with 2615 Court Security Service employees trained.</w:t>
      </w:r>
    </w:p>
    <w:p w:rsidR="00326377" w:rsidRPr="00326377" w:rsidRDefault="00326377" w:rsidP="00326377">
      <w:pPr>
        <w:spacing w:after="100" w:afterAutospacing="1"/>
        <w:ind w:firstLine="708"/>
        <w:rPr>
          <w:rFonts w:ascii="Times New Roman" w:hAnsi="Times New Roman" w:cs="Times New Roman"/>
          <w:sz w:val="28"/>
          <w:szCs w:val="28"/>
          <w:lang w:val="uk-UA"/>
        </w:rPr>
      </w:pPr>
      <w:r w:rsidRPr="00326377">
        <w:rPr>
          <w:rFonts w:ascii="Times New Roman" w:hAnsi="Times New Roman" w:cs="Times New Roman"/>
          <w:sz w:val="28"/>
          <w:szCs w:val="28"/>
          <w:lang w:val="uk-UA"/>
        </w:rPr>
        <w:t>In the context of comprehensive capacity building of the National School of Judges, international cooperation was further expanded and deepened, in particular, to implement international legal standards for judicial training, taking into account a comprehensive integrative approach in training courses for judges and judicial candidates.</w:t>
      </w:r>
    </w:p>
    <w:p w:rsidR="00326377" w:rsidRPr="00326377" w:rsidRDefault="00326377" w:rsidP="00326377">
      <w:pPr>
        <w:spacing w:after="100" w:afterAutospacing="1"/>
        <w:ind w:firstLine="708"/>
        <w:rPr>
          <w:rFonts w:ascii="Times New Roman" w:hAnsi="Times New Roman" w:cs="Times New Roman"/>
          <w:sz w:val="28"/>
          <w:szCs w:val="28"/>
          <w:lang w:val="uk-UA"/>
        </w:rPr>
      </w:pPr>
      <w:r w:rsidRPr="00326377">
        <w:rPr>
          <w:rFonts w:ascii="Times New Roman" w:hAnsi="Times New Roman" w:cs="Times New Roman"/>
          <w:sz w:val="28"/>
          <w:szCs w:val="28"/>
          <w:lang w:val="uk-UA"/>
        </w:rPr>
        <w:t>In cooperation with 34 international technical assistance projects, for the first time, work was started with such projects and international organisations as the Council of Europe's project ‘Support to the Judiciary in Ensuring Better Access to Justice’ to develop a training course on legal certainty, the OSCE Project Co-ordinator in Ukraine's project ‘Support to Judicial Training’ to develop methodological recommendations for effective distance learning for justice system personnel, the National Agency for Combating Criminal Justice, the National Crime Agency, and the National Judicial Service of Ukraine.</w:t>
      </w:r>
    </w:p>
    <w:p w:rsidR="00F02750" w:rsidRDefault="00326377" w:rsidP="00326377">
      <w:pPr>
        <w:spacing w:after="100" w:afterAutospacing="1"/>
        <w:ind w:firstLine="708"/>
        <w:rPr>
          <w:rFonts w:ascii="Times New Roman" w:hAnsi="Times New Roman" w:cs="Times New Roman"/>
          <w:sz w:val="28"/>
          <w:szCs w:val="28"/>
          <w:lang w:val="uk-UA"/>
        </w:rPr>
      </w:pPr>
      <w:r w:rsidRPr="00326377">
        <w:rPr>
          <w:rFonts w:ascii="Times New Roman" w:hAnsi="Times New Roman" w:cs="Times New Roman"/>
          <w:sz w:val="28"/>
          <w:szCs w:val="28"/>
          <w:lang w:val="uk-UA"/>
        </w:rPr>
        <w:t>In 2021, the National School of Judges is also guided by the fact that judicial education is a key to the democratic development of society, a prerequisite for the administration of justice based on the rule of law, and for ensuring everyone's right to a fair trial, guaranteed by the Constitution and laws of Ukraine and international treaties.</w:t>
      </w:r>
    </w:p>
    <w:p w:rsidR="004E02B1" w:rsidRDefault="006A0831" w:rsidP="00326377">
      <w:pPr>
        <w:pStyle w:val="11"/>
        <w:widowControl w:val="0"/>
        <w:overflowPunct/>
        <w:ind w:left="0"/>
        <w:jc w:val="center"/>
        <w:rPr>
          <w:b/>
          <w:bCs/>
        </w:rPr>
      </w:pPr>
      <w:r w:rsidRPr="00045852">
        <w:rPr>
          <w:b/>
          <w:bCs/>
        </w:rPr>
        <w:lastRenderedPageBreak/>
        <w:t xml:space="preserve">І. </w:t>
      </w:r>
      <w:r w:rsidR="00326377" w:rsidRPr="00326377">
        <w:rPr>
          <w:b/>
          <w:bCs/>
        </w:rPr>
        <w:t>TRAINING OF JUDGES TO MAINTAIN THEIR QUALIFICATIONS, PERIODIC TRAINING OF JUDGES TO IMPROVE THEIR SKILLS</w:t>
      </w:r>
    </w:p>
    <w:p w:rsidR="00326377" w:rsidRDefault="00326377" w:rsidP="00326377">
      <w:pPr>
        <w:pStyle w:val="11"/>
        <w:widowControl w:val="0"/>
        <w:overflowPunct/>
        <w:ind w:left="0"/>
        <w:jc w:val="center"/>
      </w:pPr>
    </w:p>
    <w:p w:rsidR="00326377" w:rsidRPr="00326377" w:rsidRDefault="00326377" w:rsidP="00326377">
      <w:pPr>
        <w:ind w:firstLine="709"/>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In 2021, the National School of Judges continued to implement the main tasks of maintaining and improving the qualifications of judges in the distance learning mode due to quarantine.</w:t>
      </w:r>
    </w:p>
    <w:p w:rsidR="00326377" w:rsidRPr="00326377" w:rsidRDefault="00326377" w:rsidP="00326377">
      <w:pPr>
        <w:ind w:firstLine="709"/>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 xml:space="preserve">The NSJU continued to address the issues of modernising the training of highly qualified judicial personnel. This process was aimed at ensuring the rule of law in the administration of justice, timely response to changes in legislation, including procedural law, the practice of national courts and the European Court of Human Rights. In terms of its form, it was aimed at achieving continuity in training, as well as the widest possible use of interactive methods in training, and maximum consideration of the educational aspirations of the judiciary. </w:t>
      </w:r>
    </w:p>
    <w:p w:rsidR="00326377" w:rsidRPr="00326377" w:rsidRDefault="00326377" w:rsidP="00326377">
      <w:pPr>
        <w:ind w:firstLine="709"/>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The training and in-service training of judges in the National School of Judges was carried out in accordance with the calendar plans for training and in-service training of judges to maintain their qualifications, standardised programmes and training programmes for the relevant categories of judges, which are developed in accordance with the Regulation on Training and In-service Training of Judges.</w:t>
      </w:r>
    </w:p>
    <w:p w:rsidR="00326377" w:rsidRPr="00326377" w:rsidRDefault="00326377" w:rsidP="00326377">
      <w:pPr>
        <w:ind w:firstLine="709"/>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 xml:space="preserve">In the training programmes, including distance learning, for all categories of judges, a significant place was given to the study of anti-corruption legislation, judicial ethics and disciplinary liability, and the identification of topical issues in the application of the case law of the European Court of Human Rights in the course of court proceedings. </w:t>
      </w:r>
    </w:p>
    <w:p w:rsidR="00326377" w:rsidRPr="00326377" w:rsidRDefault="00326377" w:rsidP="00326377">
      <w:pPr>
        <w:ind w:firstLine="709"/>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 xml:space="preserve">Under the current circumstances, the NSJU is implementing distance learning opportunities, online classes, trainings, webinars, etc. </w:t>
      </w:r>
    </w:p>
    <w:p w:rsidR="00326377" w:rsidRDefault="00326377" w:rsidP="00326377">
      <w:pPr>
        <w:ind w:firstLine="709"/>
        <w:jc w:val="both"/>
        <w:rPr>
          <w:rFonts w:ascii="Times New Roman" w:hAnsi="Times New Roman" w:cs="Times New Roman"/>
          <w:sz w:val="28"/>
          <w:szCs w:val="28"/>
          <w:lang w:val="uk-UA"/>
        </w:rPr>
      </w:pPr>
      <w:r w:rsidRPr="00326377">
        <w:rPr>
          <w:rFonts w:ascii="Times New Roman" w:hAnsi="Times New Roman" w:cs="Times New Roman"/>
          <w:sz w:val="28"/>
          <w:szCs w:val="28"/>
          <w:lang w:val="uk-UA"/>
        </w:rPr>
        <w:t xml:space="preserve">Thus, in 2021, 69 specialised trainings and workshops were held, which are mandatory for judges of local and appellate courts of all jurisdictions. </w:t>
      </w:r>
    </w:p>
    <w:p w:rsidR="00326377" w:rsidRPr="00326377" w:rsidRDefault="00326377" w:rsidP="00326377">
      <w:pPr>
        <w:tabs>
          <w:tab w:val="left" w:pos="1134"/>
        </w:tabs>
        <w:spacing w:after="0"/>
        <w:ind w:left="709"/>
        <w:jc w:val="both"/>
        <w:rPr>
          <w:rFonts w:ascii="Times New Roman" w:hAnsi="Times New Roman" w:cs="Times New Roman"/>
          <w:sz w:val="28"/>
          <w:szCs w:val="28"/>
          <w:u w:val="single"/>
          <w:lang w:val="uk-UA"/>
        </w:rPr>
      </w:pPr>
      <w:r w:rsidRPr="00326377">
        <w:rPr>
          <w:rFonts w:ascii="Times New Roman" w:hAnsi="Times New Roman" w:cs="Times New Roman"/>
          <w:sz w:val="28"/>
          <w:szCs w:val="28"/>
          <w:u w:val="single"/>
          <w:lang w:val="uk-UA"/>
        </w:rPr>
        <w:t xml:space="preserve">In particular, trainings were held: </w:t>
      </w:r>
    </w:p>
    <w:p w:rsidR="00326377" w:rsidRPr="00326377" w:rsidRDefault="00326377" w:rsidP="00847DB5">
      <w:pPr>
        <w:pStyle w:val="a5"/>
        <w:numPr>
          <w:ilvl w:val="0"/>
          <w:numId w:val="6"/>
        </w:numPr>
        <w:tabs>
          <w:tab w:val="left" w:pos="709"/>
        </w:tabs>
        <w:spacing w:after="0"/>
        <w:ind w:left="142" w:hanging="142"/>
        <w:jc w:val="both"/>
        <w:rPr>
          <w:rFonts w:ascii="Times New Roman" w:hAnsi="Times New Roman"/>
          <w:sz w:val="28"/>
          <w:szCs w:val="28"/>
        </w:rPr>
      </w:pPr>
      <w:r w:rsidRPr="00326377">
        <w:rPr>
          <w:rFonts w:ascii="Times New Roman" w:hAnsi="Times New Roman"/>
          <w:sz w:val="28"/>
          <w:szCs w:val="28"/>
        </w:rPr>
        <w:t xml:space="preserve"> ‘Administrative liability for corruption-related offences’;</w:t>
      </w:r>
    </w:p>
    <w:p w:rsidR="00326377" w:rsidRPr="00326377" w:rsidRDefault="00326377" w:rsidP="00847DB5">
      <w:pPr>
        <w:pStyle w:val="a5"/>
        <w:numPr>
          <w:ilvl w:val="0"/>
          <w:numId w:val="6"/>
        </w:numPr>
        <w:tabs>
          <w:tab w:val="left" w:pos="709"/>
        </w:tabs>
        <w:spacing w:after="0"/>
        <w:ind w:left="142" w:hanging="142"/>
        <w:jc w:val="both"/>
        <w:rPr>
          <w:rFonts w:ascii="Times New Roman" w:hAnsi="Times New Roman"/>
          <w:sz w:val="28"/>
          <w:szCs w:val="28"/>
        </w:rPr>
      </w:pPr>
      <w:r w:rsidRPr="00326377">
        <w:rPr>
          <w:rFonts w:ascii="Times New Roman" w:hAnsi="Times New Roman"/>
          <w:sz w:val="28"/>
          <w:szCs w:val="28"/>
        </w:rPr>
        <w:t xml:space="preserve"> ‘Topical issues of application of economic procedural legislation’;</w:t>
      </w:r>
    </w:p>
    <w:p w:rsidR="00326377" w:rsidRPr="00326377" w:rsidRDefault="00326377" w:rsidP="00847DB5">
      <w:pPr>
        <w:pStyle w:val="a5"/>
        <w:numPr>
          <w:ilvl w:val="0"/>
          <w:numId w:val="6"/>
        </w:numPr>
        <w:tabs>
          <w:tab w:val="left" w:pos="709"/>
        </w:tabs>
        <w:spacing w:after="0"/>
        <w:ind w:left="142" w:hanging="142"/>
        <w:jc w:val="both"/>
        <w:rPr>
          <w:rFonts w:ascii="Times New Roman" w:hAnsi="Times New Roman"/>
          <w:sz w:val="28"/>
          <w:szCs w:val="28"/>
        </w:rPr>
      </w:pPr>
      <w:r w:rsidRPr="00326377">
        <w:rPr>
          <w:rFonts w:ascii="Times New Roman" w:hAnsi="Times New Roman"/>
          <w:sz w:val="28"/>
          <w:szCs w:val="28"/>
        </w:rPr>
        <w:t xml:space="preserve"> ‘Topical issues of application of preventive measures in criminal proceedings’;</w:t>
      </w:r>
    </w:p>
    <w:p w:rsidR="00326377" w:rsidRPr="00326377" w:rsidRDefault="00326377" w:rsidP="00847DB5">
      <w:pPr>
        <w:pStyle w:val="a5"/>
        <w:numPr>
          <w:ilvl w:val="0"/>
          <w:numId w:val="6"/>
        </w:numPr>
        <w:tabs>
          <w:tab w:val="left" w:pos="709"/>
        </w:tabs>
        <w:spacing w:after="0"/>
        <w:ind w:left="142" w:hanging="142"/>
        <w:jc w:val="both"/>
        <w:rPr>
          <w:rFonts w:ascii="Times New Roman" w:hAnsi="Times New Roman"/>
          <w:sz w:val="28"/>
          <w:szCs w:val="28"/>
        </w:rPr>
      </w:pPr>
      <w:r w:rsidRPr="00326377">
        <w:rPr>
          <w:rFonts w:ascii="Times New Roman" w:hAnsi="Times New Roman"/>
          <w:sz w:val="28"/>
          <w:szCs w:val="28"/>
        </w:rPr>
        <w:t xml:space="preserve"> ‘Topical issues of granting permission by the investigating judge to conduct a search, inspection and temporary access to things and documents’;</w:t>
      </w:r>
    </w:p>
    <w:p w:rsidR="00326377" w:rsidRPr="00326377" w:rsidRDefault="00326377" w:rsidP="00847DB5">
      <w:pPr>
        <w:pStyle w:val="a5"/>
        <w:numPr>
          <w:ilvl w:val="0"/>
          <w:numId w:val="6"/>
        </w:numPr>
        <w:tabs>
          <w:tab w:val="left" w:pos="709"/>
        </w:tabs>
        <w:spacing w:after="0"/>
        <w:ind w:left="142" w:hanging="142"/>
        <w:jc w:val="both"/>
        <w:rPr>
          <w:rFonts w:ascii="Times New Roman" w:hAnsi="Times New Roman"/>
          <w:sz w:val="28"/>
          <w:szCs w:val="28"/>
        </w:rPr>
      </w:pPr>
      <w:r w:rsidRPr="00326377">
        <w:rPr>
          <w:rFonts w:ascii="Times New Roman" w:hAnsi="Times New Roman"/>
          <w:sz w:val="28"/>
          <w:szCs w:val="28"/>
        </w:rPr>
        <w:t xml:space="preserve"> ‘Topical issues of consideration of family cases’;</w:t>
      </w:r>
    </w:p>
    <w:p w:rsidR="00326377" w:rsidRPr="00326377" w:rsidRDefault="00326377" w:rsidP="00847DB5">
      <w:pPr>
        <w:pStyle w:val="a5"/>
        <w:numPr>
          <w:ilvl w:val="0"/>
          <w:numId w:val="6"/>
        </w:numPr>
        <w:tabs>
          <w:tab w:val="left" w:pos="709"/>
        </w:tabs>
        <w:spacing w:after="0"/>
        <w:ind w:left="142" w:hanging="142"/>
        <w:jc w:val="both"/>
        <w:rPr>
          <w:rFonts w:ascii="Times New Roman" w:hAnsi="Times New Roman"/>
          <w:sz w:val="28"/>
          <w:szCs w:val="28"/>
        </w:rPr>
      </w:pPr>
      <w:r w:rsidRPr="00326377">
        <w:rPr>
          <w:rFonts w:ascii="Times New Roman" w:hAnsi="Times New Roman"/>
          <w:sz w:val="28"/>
          <w:szCs w:val="28"/>
        </w:rPr>
        <w:t xml:space="preserve"> ‘Topical Issues of Seizure of Property in the Activities of an Investigating Judge’;</w:t>
      </w:r>
    </w:p>
    <w:p w:rsidR="00326377" w:rsidRPr="00326377" w:rsidRDefault="00326377" w:rsidP="00847DB5">
      <w:pPr>
        <w:pStyle w:val="a5"/>
        <w:numPr>
          <w:ilvl w:val="0"/>
          <w:numId w:val="6"/>
        </w:numPr>
        <w:tabs>
          <w:tab w:val="left" w:pos="709"/>
        </w:tabs>
        <w:spacing w:after="0"/>
        <w:ind w:left="142" w:hanging="142"/>
        <w:jc w:val="both"/>
        <w:rPr>
          <w:rFonts w:ascii="Times New Roman" w:hAnsi="Times New Roman"/>
          <w:sz w:val="28"/>
          <w:szCs w:val="28"/>
        </w:rPr>
      </w:pPr>
      <w:r w:rsidRPr="00326377">
        <w:rPr>
          <w:rFonts w:ascii="Times New Roman" w:hAnsi="Times New Roman"/>
          <w:sz w:val="28"/>
          <w:szCs w:val="28"/>
        </w:rPr>
        <w:t xml:space="preserve"> ‘Commercial Procedural Legislation: Current Issues of Law Enforcement’;</w:t>
      </w:r>
    </w:p>
    <w:p w:rsidR="00326377" w:rsidRPr="00326377" w:rsidRDefault="00326377" w:rsidP="00847DB5">
      <w:pPr>
        <w:pStyle w:val="a5"/>
        <w:numPr>
          <w:ilvl w:val="0"/>
          <w:numId w:val="6"/>
        </w:numPr>
        <w:tabs>
          <w:tab w:val="left" w:pos="1134"/>
        </w:tabs>
        <w:spacing w:after="0"/>
        <w:ind w:left="142" w:hanging="142"/>
        <w:jc w:val="both"/>
        <w:rPr>
          <w:rFonts w:ascii="Times New Roman" w:hAnsi="Times New Roman"/>
          <w:sz w:val="28"/>
          <w:szCs w:val="28"/>
        </w:rPr>
      </w:pPr>
      <w:r w:rsidRPr="00326377">
        <w:rPr>
          <w:rFonts w:ascii="Times New Roman" w:hAnsi="Times New Roman"/>
          <w:sz w:val="28"/>
          <w:szCs w:val="28"/>
        </w:rPr>
        <w:t xml:space="preserve"> ‘Activities of the investigating judge as a guarantor of human rights protection in pre-trial investigation’;</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4F609A">
        <w:rPr>
          <w:rFonts w:ascii="Times New Roman" w:hAnsi="Times New Roman"/>
          <w:sz w:val="28"/>
          <w:szCs w:val="28"/>
        </w:rPr>
        <w:lastRenderedPageBreak/>
        <w:t xml:space="preserve"> ‘Ensuring</w:t>
      </w:r>
      <w:r w:rsidRPr="006D2F79">
        <w:rPr>
          <w:rFonts w:ascii="Times New Roman" w:hAnsi="Times New Roman"/>
          <w:sz w:val="28"/>
          <w:szCs w:val="28"/>
        </w:rPr>
        <w:t xml:space="preserve"> human rights standards under Article 5 of the ECHR during the review of decisions of investigating judges and the court on appeal’;</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‘Consumer Protection: Current Issues of Law Enforcement and Court Practice’;</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‘Fundamentals of self-regulation and its role in adaptation to judicial activity’;</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‘Peculiarities of consideration of land disputes’;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‘Peculiarities of consideration of family cases’;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‘Peculiarities of consideration of inheritance cases’;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‘Peculiarities of consideration of court disputes, the subject of which is appealing against the regulator's decisions to withdraw banks from the market and other banking disputes’; </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‘Peculiarities of Simplified Proceedings on Criminal Offences’;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‘Violation of the rules of road safety or operation of transport by persons driving vehicles (Article 286 of the CCU). Peculiarities of qualification and corpus delicti’;</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‘The right to information and information with limited access’;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‘The right to respect for private and family life: application of Article 8 of the Convention for the Protection of Human Rights and Fundamental Freedoms’;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‘The practice of consideration by commercial courts of court disputes arising from credit legal relations’;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‘Practical aspects of consideration of criminal proceedings on domestic violence’;</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‘Problems of effective judicial protection in administrative proceedings’;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‘Problematic Issues of Compensation for Damage in Civil Court Practice’;</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‘Problematic issues of the unity of judicial practice. The Institute of Property Rights in Ukraine: Protection in Civil Proceedings’;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‘Psychological peculiarities of communication with participants of the trial who have experience of psychotraumatic impact’;</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‘Socio-economic competence of a judge’;</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‘Civil action in criminal proceedings’;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Psychological Features of Effective Communication and Conflict Resolution in the Professional Activity of Judges,</w:t>
      </w:r>
    </w:p>
    <w:p w:rsidR="00326377" w:rsidRPr="006D2F79" w:rsidRDefault="00326377" w:rsidP="00326377">
      <w:pPr>
        <w:tabs>
          <w:tab w:val="left" w:pos="1134"/>
        </w:tabs>
        <w:spacing w:after="0"/>
        <w:ind w:left="709"/>
        <w:jc w:val="both"/>
        <w:rPr>
          <w:rFonts w:ascii="Times New Roman" w:hAnsi="Times New Roman" w:cs="Times New Roman"/>
          <w:sz w:val="28"/>
          <w:szCs w:val="28"/>
          <w:lang w:val="uk-UA"/>
        </w:rPr>
      </w:pPr>
    </w:p>
    <w:p w:rsidR="00326377" w:rsidRPr="006D2F79" w:rsidRDefault="00326377" w:rsidP="00326377">
      <w:pPr>
        <w:tabs>
          <w:tab w:val="left" w:pos="1134"/>
        </w:tabs>
        <w:spacing w:after="0"/>
        <w:ind w:left="709"/>
        <w:jc w:val="both"/>
        <w:rPr>
          <w:rFonts w:ascii="Times New Roman" w:hAnsi="Times New Roman" w:cs="Times New Roman"/>
          <w:sz w:val="28"/>
          <w:szCs w:val="28"/>
          <w:u w:val="single"/>
          <w:lang w:val="uk-UA"/>
        </w:rPr>
      </w:pPr>
      <w:r w:rsidRPr="006D2F79">
        <w:rPr>
          <w:rFonts w:ascii="Times New Roman" w:hAnsi="Times New Roman" w:cs="Times New Roman"/>
          <w:sz w:val="28"/>
          <w:szCs w:val="28"/>
          <w:u w:val="single"/>
          <w:lang w:val="uk-UA"/>
        </w:rPr>
        <w:t xml:space="preserve">as well as testing of trainings: </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‘Consumer Protection: Current Issues of Law Enforcement and Court Practice’;</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‘Probation in criminal proceedings’;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lastRenderedPageBreak/>
        <w:t>‘Problematic issues of compensation for damages in civil proceedings’;</w:t>
      </w:r>
    </w:p>
    <w:p w:rsidR="00326377"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‘Psychological peculiarities of communication with participants of the trial who have experience of psychotraumatic impact’;</w:t>
      </w:r>
    </w:p>
    <w:p w:rsidR="00300DEE" w:rsidRPr="006D2F79" w:rsidRDefault="00326377" w:rsidP="00847DB5">
      <w:pPr>
        <w:pStyle w:val="a5"/>
        <w:numPr>
          <w:ilvl w:val="0"/>
          <w:numId w:val="6"/>
        </w:numPr>
        <w:tabs>
          <w:tab w:val="left" w:pos="1134"/>
        </w:tabs>
        <w:spacing w:after="0"/>
        <w:jc w:val="both"/>
        <w:rPr>
          <w:rFonts w:ascii="Times New Roman" w:hAnsi="Times New Roman"/>
          <w:sz w:val="28"/>
          <w:szCs w:val="28"/>
        </w:rPr>
      </w:pPr>
      <w:r w:rsidRPr="006D2F79">
        <w:rPr>
          <w:rFonts w:ascii="Times New Roman" w:hAnsi="Times New Roman"/>
          <w:sz w:val="28"/>
          <w:szCs w:val="28"/>
        </w:rPr>
        <w:t xml:space="preserve"> ‘Judicial Discretion in Administrative Proceedings’.</w:t>
      </w:r>
    </w:p>
    <w:p w:rsidR="006D2F79" w:rsidRPr="006D2F79" w:rsidRDefault="006D2F79" w:rsidP="006D2F79">
      <w:pPr>
        <w:pStyle w:val="a5"/>
        <w:tabs>
          <w:tab w:val="left" w:pos="1134"/>
        </w:tabs>
        <w:spacing w:after="0"/>
        <w:ind w:left="1069"/>
        <w:jc w:val="both"/>
        <w:rPr>
          <w:rFonts w:ascii="Times New Roman" w:hAnsi="Times New Roman"/>
          <w:sz w:val="28"/>
          <w:szCs w:val="28"/>
        </w:rPr>
      </w:pPr>
    </w:p>
    <w:p w:rsidR="00B069AD" w:rsidRPr="00B069AD" w:rsidRDefault="00B069AD" w:rsidP="00B069AD">
      <w:pPr>
        <w:shd w:val="clear" w:color="auto" w:fill="FFFFFF"/>
        <w:tabs>
          <w:tab w:val="left" w:pos="900"/>
        </w:tabs>
        <w:ind w:firstLine="709"/>
        <w:jc w:val="both"/>
        <w:rPr>
          <w:rFonts w:ascii="Times New Roman" w:hAnsi="Times New Roman" w:cs="Times New Roman"/>
          <w:bCs/>
          <w:sz w:val="28"/>
          <w:szCs w:val="28"/>
          <w:lang w:val="uk-UA"/>
        </w:rPr>
      </w:pPr>
      <w:r w:rsidRPr="00B069AD">
        <w:rPr>
          <w:rFonts w:ascii="Times New Roman" w:hAnsi="Times New Roman" w:cs="Times New Roman"/>
          <w:bCs/>
          <w:sz w:val="28"/>
          <w:szCs w:val="28"/>
          <w:lang w:val="uk-UA"/>
        </w:rPr>
        <w:t>In 2021, an online seminar ‘Novelties of Anti-Corruption Legislation. Declarations 2021’ was held, which was attended by all interested judges from all regions of Ukraine.</w:t>
      </w:r>
    </w:p>
    <w:p w:rsidR="00B069AD" w:rsidRPr="00B069AD" w:rsidRDefault="00B069AD" w:rsidP="00B069AD">
      <w:pPr>
        <w:shd w:val="clear" w:color="auto" w:fill="FFFFFF"/>
        <w:tabs>
          <w:tab w:val="left" w:pos="900"/>
        </w:tabs>
        <w:ind w:firstLine="709"/>
        <w:jc w:val="both"/>
        <w:rPr>
          <w:rFonts w:ascii="Times New Roman" w:hAnsi="Times New Roman" w:cs="Times New Roman"/>
          <w:bCs/>
          <w:sz w:val="28"/>
          <w:szCs w:val="28"/>
          <w:lang w:val="uk-UA"/>
        </w:rPr>
      </w:pPr>
      <w:r w:rsidRPr="00B069AD">
        <w:rPr>
          <w:rFonts w:ascii="Times New Roman" w:hAnsi="Times New Roman" w:cs="Times New Roman"/>
          <w:bCs/>
          <w:sz w:val="28"/>
          <w:szCs w:val="28"/>
          <w:lang w:val="uk-UA"/>
        </w:rPr>
        <w:t>The National School of Judges trained judges of the High Anti-Corruption Court and the Appeals Chamber of the High Anti-Corruption Court with the support of the USAID New Justice Program, the Council of Europe Project ‘Support to Constitutional and Legal Reforms, Constitutional Justice and Assistance to the Verkhovna Rada in Implementing Reforms to Improve Its Effectiveness’, the European Union Anti-Corruption Initiative in Ukraine, and the European Union Pravo-Justice Project, the Ukrainian-Canadian Project to Support Judicial Reform in Ukraine, the OSCE Project Co-ordinator in Ukraine, the USAID Project ‘Support to Anti-Corruption Champion Organisations “Interaction”, the Council of Europe Project “Strengthening Anti-Money Laundering and Counter-Terrorism Financing Measures in Ukraine”, the Council of Europe Project “Respect for Human Rights in the Criminal Justice System of Ukraine”, and the Council of Europe Project “Support to the Implementation of Judicial Reform in Ukraine”. As a result of the training programme, 38 judges of the High Anti-Corruption Court received certificates.</w:t>
      </w:r>
    </w:p>
    <w:p w:rsidR="00B069AD" w:rsidRPr="00B069AD" w:rsidRDefault="00B069AD" w:rsidP="00B069AD">
      <w:pPr>
        <w:shd w:val="clear" w:color="auto" w:fill="FFFFFF"/>
        <w:tabs>
          <w:tab w:val="left" w:pos="900"/>
        </w:tabs>
        <w:ind w:firstLine="709"/>
        <w:jc w:val="both"/>
        <w:rPr>
          <w:rFonts w:ascii="Times New Roman" w:hAnsi="Times New Roman" w:cs="Times New Roman"/>
          <w:bCs/>
          <w:sz w:val="28"/>
          <w:szCs w:val="28"/>
          <w:lang w:val="uk-UA"/>
        </w:rPr>
      </w:pPr>
      <w:r w:rsidRPr="00B069AD">
        <w:rPr>
          <w:rFonts w:ascii="Times New Roman" w:hAnsi="Times New Roman" w:cs="Times New Roman"/>
          <w:bCs/>
          <w:sz w:val="28"/>
          <w:szCs w:val="28"/>
          <w:lang w:val="uk-UA"/>
        </w:rPr>
        <w:t>To provide interactive and distance learning, the NJCU uses the Internet, modern personal computers (laptops), flipcharts, video cameras, multimedia projectors, screens, electronic clicker systems, interactive whiteboards, and other auxiliary tools.</w:t>
      </w:r>
    </w:p>
    <w:p w:rsidR="00B069AD" w:rsidRPr="00B069AD" w:rsidRDefault="00B069AD" w:rsidP="00B069AD">
      <w:pPr>
        <w:shd w:val="clear" w:color="auto" w:fill="FFFFFF"/>
        <w:tabs>
          <w:tab w:val="left" w:pos="900"/>
        </w:tabs>
        <w:ind w:firstLine="709"/>
        <w:jc w:val="both"/>
        <w:rPr>
          <w:rFonts w:ascii="Times New Roman" w:hAnsi="Times New Roman" w:cs="Times New Roman"/>
          <w:bCs/>
          <w:sz w:val="28"/>
          <w:szCs w:val="28"/>
          <w:lang w:val="uk-UA"/>
        </w:rPr>
      </w:pPr>
      <w:r w:rsidRPr="00B069AD">
        <w:rPr>
          <w:rFonts w:ascii="Times New Roman" w:hAnsi="Times New Roman" w:cs="Times New Roman"/>
          <w:bCs/>
          <w:sz w:val="28"/>
          <w:szCs w:val="28"/>
          <w:lang w:val="uk-UA"/>
        </w:rPr>
        <w:t>In 2021, as part of the periodic training of judges to improve their skills, the NSJU held quarterly all-Ukrainian one-day thematic seminars. All judges of local and appellate courts who expressed a desire to improve their knowledge, skills and abilities based on individual needs, participated in these seminars on the relevant topic, registered on the website, and then groups of trainees were formed regardless of the principle of territorial assignment. A total of 29 such seminars were held.</w:t>
      </w:r>
    </w:p>
    <w:p w:rsidR="00B069AD" w:rsidRPr="00B069AD" w:rsidRDefault="00B069AD" w:rsidP="00B069AD">
      <w:pPr>
        <w:shd w:val="clear" w:color="auto" w:fill="FFFFFF"/>
        <w:tabs>
          <w:tab w:val="left" w:pos="900"/>
        </w:tabs>
        <w:ind w:firstLine="709"/>
        <w:jc w:val="both"/>
        <w:rPr>
          <w:rFonts w:ascii="Times New Roman" w:hAnsi="Times New Roman" w:cs="Times New Roman"/>
          <w:bCs/>
          <w:sz w:val="28"/>
          <w:szCs w:val="28"/>
          <w:lang w:val="uk-UA"/>
        </w:rPr>
      </w:pPr>
    </w:p>
    <w:p w:rsidR="00300DEE" w:rsidRDefault="00300DEE" w:rsidP="00300DEE">
      <w:pPr>
        <w:shd w:val="clear" w:color="auto" w:fill="FFFFFF"/>
        <w:tabs>
          <w:tab w:val="left" w:pos="900"/>
        </w:tabs>
        <w:ind w:firstLine="709"/>
        <w:jc w:val="both"/>
        <w:rPr>
          <w:rFonts w:ascii="Times New Roman" w:hAnsi="Times New Roman" w:cs="Times New Roman"/>
          <w:sz w:val="28"/>
          <w:szCs w:val="28"/>
          <w:lang w:val="uk-UA"/>
        </w:rPr>
      </w:pPr>
      <w:r w:rsidRPr="003F5103">
        <w:rPr>
          <w:rFonts w:ascii="Times New Roman" w:hAnsi="Times New Roman" w:cs="Times New Roman"/>
          <w:noProof/>
          <w:sz w:val="28"/>
          <w:szCs w:val="28"/>
          <w:lang w:val="uk-UA" w:eastAsia="uk-UA"/>
        </w:rPr>
        <w:lastRenderedPageBreak/>
        <w:drawing>
          <wp:inline distT="0" distB="0" distL="0" distR="0">
            <wp:extent cx="5029200" cy="3038168"/>
            <wp:effectExtent l="0" t="0" r="0" b="0"/>
            <wp:docPr id="28" name="Діагра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107E55" w:rsidRPr="003F5103" w:rsidRDefault="00107E55" w:rsidP="00300DEE">
      <w:pPr>
        <w:shd w:val="clear" w:color="auto" w:fill="FFFFFF"/>
        <w:tabs>
          <w:tab w:val="left" w:pos="900"/>
        </w:tabs>
        <w:ind w:firstLine="709"/>
        <w:jc w:val="both"/>
        <w:rPr>
          <w:rFonts w:ascii="Times New Roman" w:hAnsi="Times New Roman" w:cs="Times New Roman"/>
          <w:sz w:val="28"/>
          <w:szCs w:val="28"/>
          <w:lang w:val="uk-UA"/>
        </w:rPr>
      </w:pPr>
    </w:p>
    <w:p w:rsidR="00B069AD" w:rsidRPr="00B069AD" w:rsidRDefault="00B069AD" w:rsidP="00B069AD">
      <w:pPr>
        <w:spacing w:after="0"/>
        <w:ind w:firstLine="720"/>
        <w:jc w:val="both"/>
        <w:rPr>
          <w:rFonts w:ascii="Times New Roman" w:hAnsi="Times New Roman" w:cs="Times New Roman"/>
          <w:sz w:val="28"/>
          <w:szCs w:val="28"/>
          <w:lang w:val="uk-UA"/>
        </w:rPr>
      </w:pPr>
      <w:r w:rsidRPr="00B069AD">
        <w:rPr>
          <w:rFonts w:ascii="Times New Roman" w:hAnsi="Times New Roman" w:cs="Times New Roman"/>
          <w:sz w:val="28"/>
          <w:szCs w:val="28"/>
          <w:lang w:val="uk-UA"/>
        </w:rPr>
        <w:t>The NSJU is actively implementing distance learning for periodic training of judges. In cooperation with the departments of the National School of Judges (Information Technology, Judicial Training Department, and Teacher Training Department), 42 distance learning courses (on 27 topics) were held and successfully completed by 440 students. The following distance learning courses were conducted for judges:</w:t>
      </w:r>
    </w:p>
    <w:p w:rsidR="00B069AD" w:rsidRPr="00B069AD" w:rsidRDefault="00B069AD" w:rsidP="00B069AD">
      <w:pPr>
        <w:spacing w:after="0"/>
        <w:ind w:firstLine="720"/>
        <w:jc w:val="both"/>
        <w:rPr>
          <w:rFonts w:ascii="Times New Roman" w:hAnsi="Times New Roman" w:cs="Times New Roman"/>
          <w:sz w:val="28"/>
          <w:szCs w:val="28"/>
          <w:lang w:val="uk-UA"/>
        </w:rPr>
      </w:pPr>
    </w:p>
    <w:p w:rsidR="0048775D" w:rsidRDefault="0048775D" w:rsidP="006104DF">
      <w:pPr>
        <w:tabs>
          <w:tab w:val="left" w:pos="8509"/>
          <w:tab w:val="left" w:pos="8556"/>
        </w:tabs>
        <w:ind w:firstLine="709"/>
        <w:jc w:val="center"/>
        <w:rPr>
          <w:rFonts w:ascii="Times New Roman" w:hAnsi="Times New Roman" w:cs="Times New Roman"/>
          <w:b/>
          <w:bCs/>
          <w:sz w:val="24"/>
          <w:szCs w:val="24"/>
          <w:lang w:val="uk-UA"/>
        </w:rPr>
      </w:pPr>
    </w:p>
    <w:p w:rsidR="00DB7FD7" w:rsidRPr="00B069AD" w:rsidRDefault="00B069AD" w:rsidP="006104DF">
      <w:pPr>
        <w:tabs>
          <w:tab w:val="left" w:pos="8509"/>
          <w:tab w:val="left" w:pos="8556"/>
        </w:tabs>
        <w:ind w:firstLine="709"/>
        <w:jc w:val="center"/>
        <w:rPr>
          <w:rFonts w:ascii="Times New Roman" w:hAnsi="Times New Roman" w:cs="Times New Roman"/>
          <w:sz w:val="28"/>
          <w:szCs w:val="28"/>
          <w:lang w:val="en-US" w:eastAsia="ru-RU"/>
        </w:rPr>
      </w:pPr>
      <w:r w:rsidRPr="00B069AD">
        <w:rPr>
          <w:rFonts w:ascii="Times New Roman" w:hAnsi="Times New Roman" w:cs="Times New Roman"/>
          <w:b/>
          <w:bCs/>
          <w:sz w:val="24"/>
          <w:szCs w:val="24"/>
          <w:lang w:val="en-US"/>
        </w:rPr>
        <w:t>Distance learning courses for judges</w:t>
      </w:r>
    </w:p>
    <w:tbl>
      <w:tblPr>
        <w:tblStyle w:val="af"/>
        <w:tblW w:w="10060" w:type="dxa"/>
        <w:jc w:val="center"/>
        <w:tblLook w:val="04A0" w:firstRow="1" w:lastRow="0" w:firstColumn="1" w:lastColumn="0" w:noHBand="0" w:noVBand="1"/>
      </w:tblPr>
      <w:tblGrid>
        <w:gridCol w:w="704"/>
        <w:gridCol w:w="5812"/>
        <w:gridCol w:w="1134"/>
        <w:gridCol w:w="1276"/>
        <w:gridCol w:w="1134"/>
      </w:tblGrid>
      <w:tr w:rsidR="00437178" w:rsidRPr="009B4CC0" w:rsidTr="00BE4EBE">
        <w:trPr>
          <w:trHeight w:val="553"/>
          <w:jc w:val="center"/>
        </w:trPr>
        <w:tc>
          <w:tcPr>
            <w:tcW w:w="704" w:type="dxa"/>
            <w:vMerge w:val="restart"/>
          </w:tcPr>
          <w:p w:rsidR="00437178" w:rsidRPr="00ED5521" w:rsidRDefault="00ED5521" w:rsidP="00ED5521">
            <w:pPr>
              <w:tabs>
                <w:tab w:val="left" w:pos="8509"/>
                <w:tab w:val="left" w:pos="8556"/>
              </w:tabs>
              <w:rPr>
                <w:rFonts w:cs="Times New Roman"/>
                <w:b/>
                <w:sz w:val="18"/>
                <w:szCs w:val="18"/>
                <w:lang w:eastAsia="ru-RU"/>
              </w:rPr>
            </w:pPr>
            <w:r w:rsidRPr="00ED5521">
              <w:rPr>
                <w:rFonts w:cs="Times New Roman"/>
                <w:b/>
                <w:sz w:val="18"/>
                <w:szCs w:val="18"/>
                <w:lang w:eastAsia="ru-RU"/>
              </w:rPr>
              <w:t>№ З/П</w:t>
            </w:r>
          </w:p>
        </w:tc>
        <w:tc>
          <w:tcPr>
            <w:tcW w:w="5812" w:type="dxa"/>
            <w:vMerge w:val="restart"/>
          </w:tcPr>
          <w:p w:rsidR="00437178" w:rsidRPr="00235C42" w:rsidRDefault="00B069AD" w:rsidP="00B069AD">
            <w:pPr>
              <w:tabs>
                <w:tab w:val="left" w:pos="8509"/>
                <w:tab w:val="left" w:pos="8556"/>
              </w:tabs>
              <w:jc w:val="center"/>
              <w:rPr>
                <w:rFonts w:cs="Times New Roman"/>
                <w:b/>
                <w:sz w:val="24"/>
                <w:szCs w:val="24"/>
                <w:lang w:eastAsia="ru-RU"/>
              </w:rPr>
            </w:pPr>
            <w:r>
              <w:rPr>
                <w:rFonts w:cs="Times New Roman"/>
                <w:b/>
                <w:sz w:val="24"/>
                <w:szCs w:val="24"/>
                <w:lang w:eastAsia="ru-RU"/>
              </w:rPr>
              <w:t xml:space="preserve"> </w:t>
            </w:r>
            <w:r w:rsidRPr="00B069AD">
              <w:rPr>
                <w:rFonts w:cs="Times New Roman"/>
                <w:b/>
                <w:sz w:val="24"/>
                <w:szCs w:val="24"/>
                <w:lang w:eastAsia="ru-RU"/>
              </w:rPr>
              <w:t xml:space="preserve"> </w:t>
            </w:r>
            <w:r>
              <w:rPr>
                <w:rFonts w:cs="Times New Roman"/>
                <w:b/>
                <w:sz w:val="24"/>
                <w:szCs w:val="24"/>
                <w:lang w:val="en-US" w:eastAsia="ru-RU"/>
              </w:rPr>
              <w:t>T</w:t>
            </w:r>
            <w:r w:rsidRPr="00B069AD">
              <w:rPr>
                <w:rFonts w:cs="Times New Roman"/>
                <w:b/>
                <w:sz w:val="24"/>
                <w:szCs w:val="24"/>
                <w:lang w:eastAsia="ru-RU"/>
              </w:rPr>
              <w:t>itle</w:t>
            </w:r>
          </w:p>
        </w:tc>
        <w:tc>
          <w:tcPr>
            <w:tcW w:w="3544" w:type="dxa"/>
            <w:gridSpan w:val="3"/>
          </w:tcPr>
          <w:p w:rsidR="00B069AD" w:rsidRPr="00B069AD" w:rsidRDefault="00B069AD" w:rsidP="00B069AD">
            <w:pPr>
              <w:tabs>
                <w:tab w:val="left" w:pos="8509"/>
                <w:tab w:val="left" w:pos="8556"/>
              </w:tabs>
              <w:jc w:val="center"/>
              <w:rPr>
                <w:rFonts w:cs="Times New Roman"/>
                <w:b/>
                <w:sz w:val="24"/>
                <w:szCs w:val="24"/>
              </w:rPr>
            </w:pPr>
            <w:r w:rsidRPr="00B069AD">
              <w:rPr>
                <w:rFonts w:cs="Times New Roman"/>
                <w:b/>
                <w:sz w:val="24"/>
                <w:szCs w:val="24"/>
              </w:rPr>
              <w:t>Attended courses</w:t>
            </w:r>
          </w:p>
          <w:p w:rsidR="00437178" w:rsidRPr="00235C42" w:rsidRDefault="00B069AD" w:rsidP="00B069AD">
            <w:pPr>
              <w:tabs>
                <w:tab w:val="left" w:pos="8509"/>
                <w:tab w:val="left" w:pos="8556"/>
              </w:tabs>
              <w:jc w:val="center"/>
              <w:rPr>
                <w:rFonts w:cs="Times New Roman"/>
                <w:b/>
                <w:sz w:val="24"/>
                <w:szCs w:val="24"/>
                <w:lang w:eastAsia="ru-RU"/>
              </w:rPr>
            </w:pPr>
            <w:r w:rsidRPr="00B069AD">
              <w:rPr>
                <w:rFonts w:cs="Times New Roman"/>
                <w:b/>
                <w:sz w:val="24"/>
                <w:szCs w:val="24"/>
              </w:rPr>
              <w:t xml:space="preserve"> (number of judges)</w:t>
            </w:r>
          </w:p>
        </w:tc>
      </w:tr>
      <w:tr w:rsidR="00437178" w:rsidTr="005974C7">
        <w:trPr>
          <w:jc w:val="center"/>
        </w:trPr>
        <w:tc>
          <w:tcPr>
            <w:tcW w:w="704" w:type="dxa"/>
            <w:vMerge/>
            <w:vAlign w:val="center"/>
          </w:tcPr>
          <w:p w:rsidR="00437178" w:rsidRPr="00437178" w:rsidRDefault="00437178" w:rsidP="00437178">
            <w:pPr>
              <w:tabs>
                <w:tab w:val="left" w:pos="8509"/>
                <w:tab w:val="left" w:pos="8556"/>
              </w:tabs>
              <w:jc w:val="both"/>
              <w:rPr>
                <w:lang w:eastAsia="ru-RU"/>
              </w:rPr>
            </w:pPr>
          </w:p>
        </w:tc>
        <w:tc>
          <w:tcPr>
            <w:tcW w:w="5812" w:type="dxa"/>
            <w:vMerge/>
            <w:vAlign w:val="center"/>
          </w:tcPr>
          <w:p w:rsidR="00437178" w:rsidRPr="00AD3597" w:rsidRDefault="00437178" w:rsidP="0074735B">
            <w:pPr>
              <w:tabs>
                <w:tab w:val="left" w:pos="1168"/>
              </w:tabs>
              <w:jc w:val="both"/>
            </w:pPr>
          </w:p>
        </w:tc>
        <w:tc>
          <w:tcPr>
            <w:tcW w:w="1134" w:type="dxa"/>
            <w:vAlign w:val="center"/>
          </w:tcPr>
          <w:p w:rsidR="00437178" w:rsidRPr="00437178" w:rsidRDefault="00437178" w:rsidP="0074735B">
            <w:pPr>
              <w:tabs>
                <w:tab w:val="left" w:pos="8509"/>
                <w:tab w:val="left" w:pos="8556"/>
              </w:tabs>
              <w:jc w:val="center"/>
              <w:rPr>
                <w:rFonts w:cs="Times New Roman"/>
                <w:b/>
                <w:lang w:eastAsia="ru-RU"/>
              </w:rPr>
            </w:pPr>
            <w:r w:rsidRPr="00437178">
              <w:rPr>
                <w:rFonts w:cs="Times New Roman"/>
                <w:b/>
                <w:lang w:eastAsia="ru-RU"/>
              </w:rPr>
              <w:t>2020</w:t>
            </w:r>
          </w:p>
        </w:tc>
        <w:tc>
          <w:tcPr>
            <w:tcW w:w="1276" w:type="dxa"/>
            <w:vAlign w:val="center"/>
          </w:tcPr>
          <w:p w:rsidR="00437178" w:rsidRPr="00437178" w:rsidRDefault="00437178" w:rsidP="0074735B">
            <w:pPr>
              <w:tabs>
                <w:tab w:val="left" w:pos="8509"/>
                <w:tab w:val="left" w:pos="8556"/>
              </w:tabs>
              <w:jc w:val="center"/>
              <w:rPr>
                <w:rFonts w:cs="Times New Roman"/>
                <w:b/>
                <w:lang w:eastAsia="ru-RU"/>
              </w:rPr>
            </w:pPr>
            <w:r w:rsidRPr="00437178">
              <w:rPr>
                <w:rFonts w:cs="Times New Roman"/>
                <w:b/>
                <w:lang w:eastAsia="ru-RU"/>
              </w:rPr>
              <w:t>2021</w:t>
            </w:r>
          </w:p>
        </w:tc>
        <w:tc>
          <w:tcPr>
            <w:tcW w:w="1134" w:type="dxa"/>
            <w:vAlign w:val="center"/>
          </w:tcPr>
          <w:p w:rsidR="00437178" w:rsidRPr="00437178" w:rsidRDefault="00437178" w:rsidP="0074735B">
            <w:pPr>
              <w:spacing w:after="0"/>
              <w:jc w:val="center"/>
              <w:rPr>
                <w:b/>
                <w:color w:val="000000"/>
              </w:rPr>
            </w:pPr>
            <w:r w:rsidRPr="00437178">
              <w:rPr>
                <w:b/>
                <w:color w:val="000000"/>
              </w:rPr>
              <w:t xml:space="preserve">Усього </w:t>
            </w:r>
          </w:p>
        </w:tc>
      </w:tr>
      <w:tr w:rsidR="0074735B" w:rsidTr="005974C7">
        <w:trPr>
          <w:jc w:val="center"/>
        </w:trPr>
        <w:tc>
          <w:tcPr>
            <w:tcW w:w="704" w:type="dxa"/>
            <w:vAlign w:val="center"/>
          </w:tcPr>
          <w:p w:rsidR="0074735B" w:rsidRPr="00880247" w:rsidRDefault="0074735B" w:rsidP="00847DB5">
            <w:pPr>
              <w:pStyle w:val="a5"/>
              <w:numPr>
                <w:ilvl w:val="0"/>
                <w:numId w:val="1"/>
              </w:numPr>
              <w:tabs>
                <w:tab w:val="left" w:pos="8509"/>
                <w:tab w:val="left" w:pos="8556"/>
              </w:tabs>
              <w:jc w:val="both"/>
              <w:rPr>
                <w:lang w:eastAsia="ru-RU"/>
              </w:rPr>
            </w:pPr>
          </w:p>
        </w:tc>
        <w:tc>
          <w:tcPr>
            <w:tcW w:w="5812" w:type="dxa"/>
            <w:vAlign w:val="center"/>
          </w:tcPr>
          <w:p w:rsidR="0074735B" w:rsidRPr="00AD3597" w:rsidRDefault="00B069AD" w:rsidP="0074735B">
            <w:pPr>
              <w:tabs>
                <w:tab w:val="left" w:pos="1168"/>
              </w:tabs>
              <w:jc w:val="both"/>
            </w:pPr>
            <w:r w:rsidRPr="00B069AD">
              <w:t>‘Settlement of disputes with the participation of a judge’</w:t>
            </w:r>
          </w:p>
        </w:tc>
        <w:tc>
          <w:tcPr>
            <w:tcW w:w="1134" w:type="dxa"/>
            <w:vAlign w:val="center"/>
          </w:tcPr>
          <w:p w:rsidR="0074735B" w:rsidRPr="00880247" w:rsidRDefault="0074735B" w:rsidP="0074735B">
            <w:pPr>
              <w:tabs>
                <w:tab w:val="left" w:pos="8509"/>
                <w:tab w:val="left" w:pos="8556"/>
              </w:tabs>
              <w:jc w:val="center"/>
              <w:rPr>
                <w:rFonts w:cs="Times New Roman"/>
                <w:lang w:eastAsia="ru-RU"/>
              </w:rPr>
            </w:pPr>
          </w:p>
        </w:tc>
        <w:tc>
          <w:tcPr>
            <w:tcW w:w="1276"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7</w:t>
            </w:r>
          </w:p>
        </w:tc>
        <w:tc>
          <w:tcPr>
            <w:tcW w:w="1134" w:type="dxa"/>
            <w:vAlign w:val="center"/>
          </w:tcPr>
          <w:p w:rsidR="0074735B" w:rsidRPr="00880247" w:rsidRDefault="0074735B" w:rsidP="0074735B">
            <w:pPr>
              <w:spacing w:after="0"/>
              <w:jc w:val="center"/>
              <w:rPr>
                <w:rFonts w:cs="Times New Roman"/>
                <w:color w:val="000000"/>
                <w:lang w:eastAsia="ru-RU"/>
              </w:rPr>
            </w:pPr>
            <w:r w:rsidRPr="00880247">
              <w:rPr>
                <w:color w:val="000000"/>
              </w:rPr>
              <w:t>7</w:t>
            </w:r>
          </w:p>
        </w:tc>
      </w:tr>
      <w:tr w:rsidR="0074735B" w:rsidTr="005974C7">
        <w:trPr>
          <w:jc w:val="center"/>
        </w:trPr>
        <w:tc>
          <w:tcPr>
            <w:tcW w:w="704" w:type="dxa"/>
            <w:vAlign w:val="center"/>
          </w:tcPr>
          <w:p w:rsidR="0074735B" w:rsidRPr="00880247" w:rsidRDefault="0074735B" w:rsidP="00847DB5">
            <w:pPr>
              <w:pStyle w:val="a5"/>
              <w:numPr>
                <w:ilvl w:val="0"/>
                <w:numId w:val="1"/>
              </w:numPr>
              <w:tabs>
                <w:tab w:val="left" w:pos="8509"/>
                <w:tab w:val="left" w:pos="8556"/>
              </w:tabs>
              <w:jc w:val="both"/>
              <w:rPr>
                <w:lang w:eastAsia="ru-RU"/>
              </w:rPr>
            </w:pPr>
          </w:p>
        </w:tc>
        <w:tc>
          <w:tcPr>
            <w:tcW w:w="5812" w:type="dxa"/>
            <w:vAlign w:val="center"/>
          </w:tcPr>
          <w:p w:rsidR="0074735B" w:rsidRPr="00AD3597" w:rsidRDefault="00B069AD" w:rsidP="0074735B">
            <w:pPr>
              <w:tabs>
                <w:tab w:val="left" w:pos="1168"/>
              </w:tabs>
              <w:jc w:val="both"/>
            </w:pPr>
            <w:r w:rsidRPr="00B069AD">
              <w:t xml:space="preserve">‘Demystifying cybercrime’  </w:t>
            </w:r>
          </w:p>
        </w:tc>
        <w:tc>
          <w:tcPr>
            <w:tcW w:w="1134" w:type="dxa"/>
            <w:vAlign w:val="center"/>
          </w:tcPr>
          <w:p w:rsidR="0074735B" w:rsidRPr="00880247" w:rsidRDefault="0074735B" w:rsidP="0074735B">
            <w:pPr>
              <w:tabs>
                <w:tab w:val="left" w:pos="8509"/>
                <w:tab w:val="left" w:pos="8556"/>
              </w:tabs>
              <w:jc w:val="center"/>
              <w:rPr>
                <w:rFonts w:cs="Times New Roman"/>
                <w:lang w:eastAsia="ru-RU"/>
              </w:rPr>
            </w:pPr>
          </w:p>
        </w:tc>
        <w:tc>
          <w:tcPr>
            <w:tcW w:w="1276"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28</w:t>
            </w:r>
          </w:p>
        </w:tc>
        <w:tc>
          <w:tcPr>
            <w:tcW w:w="1134" w:type="dxa"/>
            <w:vAlign w:val="center"/>
          </w:tcPr>
          <w:p w:rsidR="0074735B" w:rsidRPr="00880247" w:rsidRDefault="0074735B" w:rsidP="0074735B">
            <w:pPr>
              <w:jc w:val="center"/>
              <w:rPr>
                <w:color w:val="000000"/>
              </w:rPr>
            </w:pPr>
            <w:r w:rsidRPr="00880247">
              <w:rPr>
                <w:color w:val="000000"/>
              </w:rPr>
              <w:t>28</w:t>
            </w:r>
          </w:p>
        </w:tc>
      </w:tr>
      <w:tr w:rsidR="0074735B" w:rsidTr="005974C7">
        <w:trPr>
          <w:jc w:val="center"/>
        </w:trPr>
        <w:tc>
          <w:tcPr>
            <w:tcW w:w="704" w:type="dxa"/>
            <w:vAlign w:val="center"/>
          </w:tcPr>
          <w:p w:rsidR="0074735B" w:rsidRPr="00880247" w:rsidRDefault="0074735B" w:rsidP="00847DB5">
            <w:pPr>
              <w:pStyle w:val="a5"/>
              <w:numPr>
                <w:ilvl w:val="0"/>
                <w:numId w:val="1"/>
              </w:numPr>
              <w:tabs>
                <w:tab w:val="left" w:pos="8509"/>
                <w:tab w:val="left" w:pos="8556"/>
              </w:tabs>
              <w:jc w:val="both"/>
              <w:rPr>
                <w:lang w:eastAsia="ru-RU"/>
              </w:rPr>
            </w:pPr>
          </w:p>
        </w:tc>
        <w:tc>
          <w:tcPr>
            <w:tcW w:w="5812" w:type="dxa"/>
            <w:vAlign w:val="center"/>
          </w:tcPr>
          <w:p w:rsidR="0074735B" w:rsidRPr="00AD3597" w:rsidRDefault="00B069AD" w:rsidP="0074735B">
            <w:pPr>
              <w:tabs>
                <w:tab w:val="left" w:pos="1168"/>
              </w:tabs>
              <w:jc w:val="both"/>
            </w:pPr>
            <w:r w:rsidRPr="00B069AD">
              <w:t>‘Evidence and proof in commercial proceedings’</w:t>
            </w:r>
          </w:p>
        </w:tc>
        <w:tc>
          <w:tcPr>
            <w:tcW w:w="1134" w:type="dxa"/>
            <w:vAlign w:val="center"/>
          </w:tcPr>
          <w:p w:rsidR="0074735B" w:rsidRPr="00880247" w:rsidRDefault="0074735B" w:rsidP="0074735B">
            <w:pPr>
              <w:tabs>
                <w:tab w:val="left" w:pos="8509"/>
                <w:tab w:val="left" w:pos="8556"/>
              </w:tabs>
              <w:jc w:val="center"/>
              <w:rPr>
                <w:rFonts w:cs="Times New Roman"/>
                <w:lang w:eastAsia="ru-RU"/>
              </w:rPr>
            </w:pPr>
          </w:p>
        </w:tc>
        <w:tc>
          <w:tcPr>
            <w:tcW w:w="1276"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13</w:t>
            </w:r>
          </w:p>
        </w:tc>
        <w:tc>
          <w:tcPr>
            <w:tcW w:w="1134" w:type="dxa"/>
            <w:vAlign w:val="center"/>
          </w:tcPr>
          <w:p w:rsidR="0074735B" w:rsidRPr="00880247" w:rsidRDefault="0074735B" w:rsidP="0074735B">
            <w:pPr>
              <w:jc w:val="center"/>
              <w:rPr>
                <w:color w:val="000000"/>
              </w:rPr>
            </w:pPr>
            <w:r w:rsidRPr="00880247">
              <w:rPr>
                <w:color w:val="000000"/>
              </w:rPr>
              <w:t>13</w:t>
            </w:r>
          </w:p>
        </w:tc>
      </w:tr>
      <w:tr w:rsidR="0074735B" w:rsidRPr="00C553B9" w:rsidTr="005974C7">
        <w:trPr>
          <w:jc w:val="center"/>
        </w:trPr>
        <w:tc>
          <w:tcPr>
            <w:tcW w:w="704" w:type="dxa"/>
            <w:vAlign w:val="center"/>
          </w:tcPr>
          <w:p w:rsidR="0074735B" w:rsidRPr="00880247" w:rsidRDefault="0074735B" w:rsidP="00847DB5">
            <w:pPr>
              <w:pStyle w:val="a5"/>
              <w:numPr>
                <w:ilvl w:val="0"/>
                <w:numId w:val="1"/>
              </w:numPr>
              <w:tabs>
                <w:tab w:val="left" w:pos="8509"/>
                <w:tab w:val="left" w:pos="8556"/>
              </w:tabs>
              <w:jc w:val="both"/>
              <w:rPr>
                <w:lang w:eastAsia="ru-RU"/>
              </w:rPr>
            </w:pPr>
          </w:p>
        </w:tc>
        <w:tc>
          <w:tcPr>
            <w:tcW w:w="5812" w:type="dxa"/>
            <w:vAlign w:val="center"/>
          </w:tcPr>
          <w:p w:rsidR="0074735B" w:rsidRPr="00AD3597" w:rsidRDefault="00B069AD" w:rsidP="0074735B">
            <w:pPr>
              <w:tabs>
                <w:tab w:val="left" w:pos="1168"/>
              </w:tabs>
              <w:jc w:val="both"/>
            </w:pPr>
            <w:r w:rsidRPr="00B069AD">
              <w:t>‘Women's Access to Justice. Implementing the standards of the Istanbul Convention and other European standards of gender equality in the Eastern Partnership countries</w:t>
            </w:r>
          </w:p>
        </w:tc>
        <w:tc>
          <w:tcPr>
            <w:tcW w:w="1134"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26</w:t>
            </w:r>
          </w:p>
        </w:tc>
        <w:tc>
          <w:tcPr>
            <w:tcW w:w="1276"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14</w:t>
            </w:r>
          </w:p>
        </w:tc>
        <w:tc>
          <w:tcPr>
            <w:tcW w:w="1134" w:type="dxa"/>
            <w:vAlign w:val="center"/>
          </w:tcPr>
          <w:p w:rsidR="0074735B" w:rsidRPr="00880247" w:rsidRDefault="0074735B" w:rsidP="0074735B">
            <w:pPr>
              <w:jc w:val="center"/>
              <w:rPr>
                <w:color w:val="000000"/>
              </w:rPr>
            </w:pPr>
            <w:r w:rsidRPr="00880247">
              <w:rPr>
                <w:color w:val="000000"/>
              </w:rPr>
              <w:t>40</w:t>
            </w:r>
          </w:p>
        </w:tc>
      </w:tr>
      <w:tr w:rsidR="0074735B" w:rsidRPr="00C553B9" w:rsidTr="005974C7">
        <w:trPr>
          <w:jc w:val="center"/>
        </w:trPr>
        <w:tc>
          <w:tcPr>
            <w:tcW w:w="704" w:type="dxa"/>
            <w:vAlign w:val="center"/>
          </w:tcPr>
          <w:p w:rsidR="0074735B" w:rsidRPr="00880247" w:rsidRDefault="0074735B" w:rsidP="00847DB5">
            <w:pPr>
              <w:pStyle w:val="a5"/>
              <w:numPr>
                <w:ilvl w:val="0"/>
                <w:numId w:val="1"/>
              </w:numPr>
              <w:tabs>
                <w:tab w:val="left" w:pos="8509"/>
                <w:tab w:val="left" w:pos="8556"/>
              </w:tabs>
              <w:jc w:val="both"/>
              <w:rPr>
                <w:lang w:eastAsia="ru-RU"/>
              </w:rPr>
            </w:pPr>
          </w:p>
        </w:tc>
        <w:tc>
          <w:tcPr>
            <w:tcW w:w="5812" w:type="dxa"/>
            <w:vAlign w:val="center"/>
          </w:tcPr>
          <w:p w:rsidR="0074735B" w:rsidRPr="00AD3597" w:rsidRDefault="00B069AD" w:rsidP="0074735B">
            <w:pPr>
              <w:tabs>
                <w:tab w:val="left" w:pos="1168"/>
              </w:tabs>
              <w:jc w:val="both"/>
            </w:pPr>
            <w:r w:rsidRPr="00B069AD">
              <w:rPr>
                <w:lang w:eastAsia="ru-RU"/>
              </w:rPr>
              <w:t xml:space="preserve">‘Application of the Convention for the Protection of Human Rights and Fundamental Freedoms and the case law of the European Court of Human Rights for judges of </w:t>
            </w:r>
            <w:r>
              <w:rPr>
                <w:lang w:eastAsia="ru-RU"/>
              </w:rPr>
              <w:t>administrative courts</w:t>
            </w:r>
            <w:r w:rsidR="0074735B" w:rsidRPr="00AD3597">
              <w:rPr>
                <w:lang w:eastAsia="ru-RU"/>
              </w:rPr>
              <w:t>”</w:t>
            </w:r>
            <w:r w:rsidR="0074735B" w:rsidRPr="00AD3597">
              <w:t xml:space="preserve"> </w:t>
            </w:r>
          </w:p>
        </w:tc>
        <w:tc>
          <w:tcPr>
            <w:tcW w:w="1134"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23</w:t>
            </w:r>
          </w:p>
        </w:tc>
        <w:tc>
          <w:tcPr>
            <w:tcW w:w="1276"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4</w:t>
            </w:r>
          </w:p>
        </w:tc>
        <w:tc>
          <w:tcPr>
            <w:tcW w:w="1134" w:type="dxa"/>
            <w:vAlign w:val="center"/>
          </w:tcPr>
          <w:p w:rsidR="0074735B" w:rsidRPr="00880247" w:rsidRDefault="0074735B" w:rsidP="0074735B">
            <w:pPr>
              <w:jc w:val="center"/>
              <w:rPr>
                <w:color w:val="000000"/>
              </w:rPr>
            </w:pPr>
            <w:r w:rsidRPr="00880247">
              <w:rPr>
                <w:color w:val="000000"/>
              </w:rPr>
              <w:t>27</w:t>
            </w:r>
          </w:p>
        </w:tc>
      </w:tr>
      <w:tr w:rsidR="0074735B" w:rsidRPr="00C553B9" w:rsidTr="005974C7">
        <w:trPr>
          <w:jc w:val="center"/>
        </w:trPr>
        <w:tc>
          <w:tcPr>
            <w:tcW w:w="704" w:type="dxa"/>
            <w:vAlign w:val="center"/>
          </w:tcPr>
          <w:p w:rsidR="0074735B" w:rsidRPr="00880247" w:rsidRDefault="0074735B" w:rsidP="00847DB5">
            <w:pPr>
              <w:pStyle w:val="a5"/>
              <w:numPr>
                <w:ilvl w:val="0"/>
                <w:numId w:val="1"/>
              </w:numPr>
              <w:tabs>
                <w:tab w:val="left" w:pos="8509"/>
                <w:tab w:val="left" w:pos="8556"/>
              </w:tabs>
              <w:jc w:val="both"/>
              <w:rPr>
                <w:lang w:eastAsia="ru-RU"/>
              </w:rPr>
            </w:pPr>
          </w:p>
        </w:tc>
        <w:tc>
          <w:tcPr>
            <w:tcW w:w="5812" w:type="dxa"/>
            <w:vAlign w:val="center"/>
          </w:tcPr>
          <w:p w:rsidR="0074735B" w:rsidRPr="00AD3597" w:rsidRDefault="0074735B" w:rsidP="0074735B">
            <w:pPr>
              <w:tabs>
                <w:tab w:val="left" w:pos="1168"/>
              </w:tabs>
              <w:jc w:val="both"/>
            </w:pPr>
            <w:r w:rsidRPr="00AD3597">
              <w:rPr>
                <w:lang w:eastAsia="ru-RU"/>
              </w:rPr>
              <w:t>“</w:t>
            </w:r>
            <w:r w:rsidR="00B069AD">
              <w:t xml:space="preserve"> </w:t>
            </w:r>
            <w:r w:rsidR="00B069AD" w:rsidRPr="00B069AD">
              <w:t xml:space="preserve">Application of the Convention for the Protection of Human Rights and Fundamental Freedoms and the case law of the European Court of Human Rights. Pre-trial investigation </w:t>
            </w:r>
            <w:r w:rsidRPr="00AD3597">
              <w:rPr>
                <w:lang w:eastAsia="ru-RU"/>
              </w:rPr>
              <w:t xml:space="preserve">” </w:t>
            </w:r>
          </w:p>
        </w:tc>
        <w:tc>
          <w:tcPr>
            <w:tcW w:w="1134"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30</w:t>
            </w:r>
          </w:p>
        </w:tc>
        <w:tc>
          <w:tcPr>
            <w:tcW w:w="1276"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7</w:t>
            </w:r>
          </w:p>
        </w:tc>
        <w:tc>
          <w:tcPr>
            <w:tcW w:w="1134" w:type="dxa"/>
            <w:vAlign w:val="center"/>
          </w:tcPr>
          <w:p w:rsidR="0074735B" w:rsidRPr="00880247" w:rsidRDefault="0074735B" w:rsidP="0074735B">
            <w:pPr>
              <w:jc w:val="center"/>
              <w:rPr>
                <w:color w:val="000000"/>
              </w:rPr>
            </w:pPr>
            <w:r w:rsidRPr="00880247">
              <w:rPr>
                <w:color w:val="000000"/>
              </w:rPr>
              <w:t>37</w:t>
            </w:r>
          </w:p>
        </w:tc>
      </w:tr>
      <w:tr w:rsidR="0074735B" w:rsidRPr="00C553B9" w:rsidTr="005974C7">
        <w:trPr>
          <w:jc w:val="center"/>
        </w:trPr>
        <w:tc>
          <w:tcPr>
            <w:tcW w:w="704" w:type="dxa"/>
            <w:vAlign w:val="center"/>
          </w:tcPr>
          <w:p w:rsidR="0074735B" w:rsidRPr="00880247" w:rsidRDefault="0074735B" w:rsidP="00847DB5">
            <w:pPr>
              <w:pStyle w:val="a5"/>
              <w:numPr>
                <w:ilvl w:val="0"/>
                <w:numId w:val="1"/>
              </w:numPr>
              <w:tabs>
                <w:tab w:val="left" w:pos="8509"/>
                <w:tab w:val="left" w:pos="8556"/>
              </w:tabs>
              <w:jc w:val="both"/>
              <w:rPr>
                <w:lang w:eastAsia="ru-RU"/>
              </w:rPr>
            </w:pPr>
          </w:p>
        </w:tc>
        <w:tc>
          <w:tcPr>
            <w:tcW w:w="5812" w:type="dxa"/>
            <w:vAlign w:val="center"/>
          </w:tcPr>
          <w:p w:rsidR="0074735B" w:rsidRPr="00AD3597" w:rsidRDefault="0074735B" w:rsidP="0074735B">
            <w:pPr>
              <w:tabs>
                <w:tab w:val="left" w:pos="1168"/>
              </w:tabs>
              <w:jc w:val="both"/>
            </w:pPr>
            <w:r w:rsidRPr="00AD3597">
              <w:rPr>
                <w:lang w:eastAsia="ru-RU"/>
              </w:rPr>
              <w:t>“</w:t>
            </w:r>
            <w:r w:rsidR="00B069AD">
              <w:t xml:space="preserve"> </w:t>
            </w:r>
            <w:r w:rsidR="00B069AD" w:rsidRPr="00B069AD">
              <w:t>Application of the Convention for the Protection of Human Rights and Fundamental Freedoms and the case law of the European Court of Human Rights. Court proceedings</w:t>
            </w:r>
            <w:r w:rsidR="007A7B8A">
              <w:t>”</w:t>
            </w:r>
          </w:p>
        </w:tc>
        <w:tc>
          <w:tcPr>
            <w:tcW w:w="1134"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31</w:t>
            </w:r>
          </w:p>
        </w:tc>
        <w:tc>
          <w:tcPr>
            <w:tcW w:w="1276"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9</w:t>
            </w:r>
          </w:p>
        </w:tc>
        <w:tc>
          <w:tcPr>
            <w:tcW w:w="1134" w:type="dxa"/>
            <w:vAlign w:val="center"/>
          </w:tcPr>
          <w:p w:rsidR="0074735B" w:rsidRPr="00880247" w:rsidRDefault="0074735B" w:rsidP="0074735B">
            <w:pPr>
              <w:jc w:val="center"/>
              <w:rPr>
                <w:color w:val="000000"/>
              </w:rPr>
            </w:pPr>
            <w:r w:rsidRPr="00880247">
              <w:rPr>
                <w:color w:val="000000"/>
              </w:rPr>
              <w:t>40</w:t>
            </w:r>
          </w:p>
        </w:tc>
      </w:tr>
      <w:tr w:rsidR="0074735B" w:rsidTr="005974C7">
        <w:trPr>
          <w:jc w:val="center"/>
        </w:trPr>
        <w:tc>
          <w:tcPr>
            <w:tcW w:w="704" w:type="dxa"/>
            <w:vAlign w:val="center"/>
          </w:tcPr>
          <w:p w:rsidR="0074735B" w:rsidRPr="00880247" w:rsidRDefault="0074735B" w:rsidP="00847DB5">
            <w:pPr>
              <w:pStyle w:val="a5"/>
              <w:numPr>
                <w:ilvl w:val="0"/>
                <w:numId w:val="1"/>
              </w:numPr>
              <w:tabs>
                <w:tab w:val="left" w:pos="8509"/>
                <w:tab w:val="left" w:pos="8556"/>
              </w:tabs>
              <w:jc w:val="both"/>
              <w:rPr>
                <w:lang w:eastAsia="ru-RU"/>
              </w:rPr>
            </w:pPr>
          </w:p>
        </w:tc>
        <w:tc>
          <w:tcPr>
            <w:tcW w:w="5812" w:type="dxa"/>
            <w:vAlign w:val="center"/>
          </w:tcPr>
          <w:p w:rsidR="0074735B" w:rsidRPr="00AD3597" w:rsidRDefault="0074735B" w:rsidP="00B069AD">
            <w:pPr>
              <w:tabs>
                <w:tab w:val="left" w:pos="1168"/>
              </w:tabs>
              <w:jc w:val="both"/>
            </w:pPr>
            <w:r w:rsidRPr="00AD3597">
              <w:rPr>
                <w:lang w:eastAsia="ru-RU"/>
              </w:rPr>
              <w:t>“</w:t>
            </w:r>
            <w:r w:rsidR="00B069AD" w:rsidRPr="00B069AD">
              <w:t xml:space="preserve">Application of the Convention for the Protection of Human Rights and Fundamental Freedoms and the case law of the European Court of Human Rights in civil proceedings </w:t>
            </w:r>
            <w:r w:rsidRPr="00AD3597">
              <w:rPr>
                <w:lang w:eastAsia="ru-RU"/>
              </w:rPr>
              <w:t xml:space="preserve">” </w:t>
            </w:r>
          </w:p>
        </w:tc>
        <w:tc>
          <w:tcPr>
            <w:tcW w:w="1134"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29</w:t>
            </w:r>
          </w:p>
        </w:tc>
        <w:tc>
          <w:tcPr>
            <w:tcW w:w="1276"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6</w:t>
            </w:r>
          </w:p>
        </w:tc>
        <w:tc>
          <w:tcPr>
            <w:tcW w:w="1134" w:type="dxa"/>
            <w:vAlign w:val="center"/>
          </w:tcPr>
          <w:p w:rsidR="0074735B" w:rsidRPr="00880247" w:rsidRDefault="0074735B" w:rsidP="0074735B">
            <w:pPr>
              <w:jc w:val="center"/>
              <w:rPr>
                <w:color w:val="000000"/>
              </w:rPr>
            </w:pPr>
            <w:r w:rsidRPr="00880247">
              <w:rPr>
                <w:color w:val="000000"/>
              </w:rPr>
              <w:t>35</w:t>
            </w:r>
          </w:p>
        </w:tc>
      </w:tr>
      <w:tr w:rsidR="0074735B" w:rsidTr="005974C7">
        <w:trPr>
          <w:jc w:val="center"/>
        </w:trPr>
        <w:tc>
          <w:tcPr>
            <w:tcW w:w="704" w:type="dxa"/>
            <w:vAlign w:val="center"/>
          </w:tcPr>
          <w:p w:rsidR="0074735B" w:rsidRPr="00880247" w:rsidRDefault="0074735B" w:rsidP="00847DB5">
            <w:pPr>
              <w:pStyle w:val="a5"/>
              <w:numPr>
                <w:ilvl w:val="0"/>
                <w:numId w:val="1"/>
              </w:numPr>
              <w:tabs>
                <w:tab w:val="left" w:pos="8509"/>
                <w:tab w:val="left" w:pos="8556"/>
              </w:tabs>
              <w:jc w:val="both"/>
              <w:rPr>
                <w:lang w:eastAsia="ru-RU"/>
              </w:rPr>
            </w:pPr>
          </w:p>
        </w:tc>
        <w:tc>
          <w:tcPr>
            <w:tcW w:w="5812" w:type="dxa"/>
            <w:vAlign w:val="center"/>
          </w:tcPr>
          <w:p w:rsidR="0074735B" w:rsidRPr="00AD3597" w:rsidRDefault="0074735B" w:rsidP="0074735B">
            <w:pPr>
              <w:tabs>
                <w:tab w:val="left" w:pos="1168"/>
              </w:tabs>
              <w:jc w:val="both"/>
            </w:pPr>
            <w:r w:rsidRPr="00AD3597">
              <w:rPr>
                <w:bCs/>
              </w:rPr>
              <w:t>“</w:t>
            </w:r>
            <w:r w:rsidR="00B069AD">
              <w:t xml:space="preserve"> </w:t>
            </w:r>
            <w:r w:rsidR="00B069AD" w:rsidRPr="00B069AD">
              <w:t xml:space="preserve">Protection of human rights in the context of the armed conflict in Ukraine. Introduction to the international protection system </w:t>
            </w:r>
            <w:r w:rsidRPr="00AD3597">
              <w:t xml:space="preserve">” </w:t>
            </w:r>
          </w:p>
        </w:tc>
        <w:tc>
          <w:tcPr>
            <w:tcW w:w="1134" w:type="dxa"/>
            <w:vAlign w:val="center"/>
          </w:tcPr>
          <w:p w:rsidR="0074735B" w:rsidRPr="00880247" w:rsidRDefault="0074735B" w:rsidP="0074735B">
            <w:pPr>
              <w:tabs>
                <w:tab w:val="left" w:pos="8509"/>
                <w:tab w:val="left" w:pos="8556"/>
              </w:tabs>
              <w:jc w:val="center"/>
              <w:rPr>
                <w:rFonts w:cs="Times New Roman"/>
                <w:lang w:eastAsia="ru-RU"/>
              </w:rPr>
            </w:pPr>
          </w:p>
        </w:tc>
        <w:tc>
          <w:tcPr>
            <w:tcW w:w="1276"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33</w:t>
            </w:r>
          </w:p>
        </w:tc>
        <w:tc>
          <w:tcPr>
            <w:tcW w:w="1134" w:type="dxa"/>
            <w:vAlign w:val="center"/>
          </w:tcPr>
          <w:p w:rsidR="0074735B" w:rsidRPr="00880247" w:rsidRDefault="0074735B" w:rsidP="0074735B">
            <w:pPr>
              <w:jc w:val="center"/>
              <w:rPr>
                <w:color w:val="000000"/>
              </w:rPr>
            </w:pPr>
            <w:r w:rsidRPr="00880247">
              <w:rPr>
                <w:color w:val="000000"/>
              </w:rPr>
              <w:t>33</w:t>
            </w:r>
          </w:p>
        </w:tc>
      </w:tr>
      <w:tr w:rsidR="0074735B" w:rsidTr="005974C7">
        <w:trPr>
          <w:jc w:val="center"/>
        </w:trPr>
        <w:tc>
          <w:tcPr>
            <w:tcW w:w="704" w:type="dxa"/>
            <w:vAlign w:val="center"/>
          </w:tcPr>
          <w:p w:rsidR="0074735B" w:rsidRPr="00880247" w:rsidRDefault="0074735B" w:rsidP="00847DB5">
            <w:pPr>
              <w:pStyle w:val="a5"/>
              <w:numPr>
                <w:ilvl w:val="0"/>
                <w:numId w:val="1"/>
              </w:numPr>
              <w:tabs>
                <w:tab w:val="left" w:pos="8509"/>
                <w:tab w:val="left" w:pos="8556"/>
              </w:tabs>
              <w:jc w:val="both"/>
              <w:rPr>
                <w:lang w:eastAsia="ru-RU"/>
              </w:rPr>
            </w:pPr>
          </w:p>
        </w:tc>
        <w:tc>
          <w:tcPr>
            <w:tcW w:w="5812" w:type="dxa"/>
            <w:vAlign w:val="center"/>
          </w:tcPr>
          <w:p w:rsidR="0074735B" w:rsidRPr="00AD3597" w:rsidRDefault="0074735B" w:rsidP="0074735B">
            <w:pPr>
              <w:tabs>
                <w:tab w:val="left" w:pos="1168"/>
              </w:tabs>
              <w:jc w:val="both"/>
            </w:pPr>
            <w:r w:rsidRPr="00AD3597">
              <w:rPr>
                <w:bCs/>
              </w:rPr>
              <w:t>“</w:t>
            </w:r>
            <w:r w:rsidR="00B069AD">
              <w:t xml:space="preserve"> </w:t>
            </w:r>
            <w:r w:rsidR="00B069AD" w:rsidRPr="00B069AD">
              <w:t>Protection of children's rights and interests in family disputes</w:t>
            </w:r>
            <w:r w:rsidR="007A7B8A">
              <w:t>”</w:t>
            </w:r>
          </w:p>
        </w:tc>
        <w:tc>
          <w:tcPr>
            <w:tcW w:w="1134" w:type="dxa"/>
            <w:vAlign w:val="center"/>
          </w:tcPr>
          <w:p w:rsidR="0074735B" w:rsidRPr="00880247" w:rsidRDefault="0074735B" w:rsidP="0074735B">
            <w:pPr>
              <w:tabs>
                <w:tab w:val="left" w:pos="8509"/>
                <w:tab w:val="left" w:pos="8556"/>
              </w:tabs>
              <w:jc w:val="center"/>
              <w:rPr>
                <w:rFonts w:cs="Times New Roman"/>
                <w:lang w:eastAsia="ru-RU"/>
              </w:rPr>
            </w:pPr>
          </w:p>
        </w:tc>
        <w:tc>
          <w:tcPr>
            <w:tcW w:w="1276" w:type="dxa"/>
            <w:vAlign w:val="center"/>
          </w:tcPr>
          <w:p w:rsidR="0074735B" w:rsidRPr="00880247" w:rsidRDefault="0074735B" w:rsidP="0074735B">
            <w:pPr>
              <w:tabs>
                <w:tab w:val="left" w:pos="8509"/>
                <w:tab w:val="left" w:pos="8556"/>
              </w:tabs>
              <w:jc w:val="center"/>
              <w:rPr>
                <w:rFonts w:cs="Times New Roman"/>
                <w:lang w:eastAsia="ru-RU"/>
              </w:rPr>
            </w:pPr>
            <w:r w:rsidRPr="00880247">
              <w:rPr>
                <w:rFonts w:cs="Times New Roman"/>
                <w:lang w:eastAsia="ru-RU"/>
              </w:rPr>
              <w:t>29</w:t>
            </w:r>
          </w:p>
        </w:tc>
        <w:tc>
          <w:tcPr>
            <w:tcW w:w="1134" w:type="dxa"/>
            <w:vAlign w:val="center"/>
          </w:tcPr>
          <w:p w:rsidR="0074735B" w:rsidRPr="00880247" w:rsidRDefault="0074735B" w:rsidP="0074735B">
            <w:pPr>
              <w:jc w:val="center"/>
              <w:rPr>
                <w:color w:val="000000"/>
              </w:rPr>
            </w:pPr>
            <w:r w:rsidRPr="00880247">
              <w:rPr>
                <w:color w:val="000000"/>
              </w:rPr>
              <w:t>29</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 xml:space="preserve">‘Communications in the work of a judge’ </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26</w:t>
            </w: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43</w:t>
            </w:r>
          </w:p>
        </w:tc>
        <w:tc>
          <w:tcPr>
            <w:tcW w:w="1134" w:type="dxa"/>
            <w:vAlign w:val="center"/>
          </w:tcPr>
          <w:p w:rsidR="00B069AD" w:rsidRPr="00880247" w:rsidRDefault="00B069AD" w:rsidP="00B069AD">
            <w:pPr>
              <w:jc w:val="center"/>
              <w:rPr>
                <w:color w:val="000000"/>
              </w:rPr>
            </w:pPr>
            <w:r w:rsidRPr="00880247">
              <w:rPr>
                <w:color w:val="000000"/>
              </w:rPr>
              <w:t>69</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 xml:space="preserve">‘Peculiarities of corporate disputes’ </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17</w:t>
            </w: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4</w:t>
            </w:r>
          </w:p>
        </w:tc>
        <w:tc>
          <w:tcPr>
            <w:tcW w:w="1134" w:type="dxa"/>
            <w:vAlign w:val="center"/>
          </w:tcPr>
          <w:p w:rsidR="00B069AD" w:rsidRPr="00880247" w:rsidRDefault="00B069AD" w:rsidP="00B069AD">
            <w:pPr>
              <w:jc w:val="center"/>
              <w:rPr>
                <w:color w:val="000000"/>
              </w:rPr>
            </w:pPr>
            <w:r w:rsidRPr="00880247">
              <w:rPr>
                <w:color w:val="000000"/>
              </w:rPr>
              <w:t>21</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 xml:space="preserve">‘Human rights and environmental protection </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12</w:t>
            </w: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Pr>
                <w:rFonts w:cs="Times New Roman"/>
                <w:lang w:eastAsia="ru-RU"/>
              </w:rPr>
              <w:t>1</w:t>
            </w:r>
          </w:p>
        </w:tc>
        <w:tc>
          <w:tcPr>
            <w:tcW w:w="1134" w:type="dxa"/>
            <w:vAlign w:val="center"/>
          </w:tcPr>
          <w:p w:rsidR="00B069AD" w:rsidRPr="00880247" w:rsidRDefault="00B069AD" w:rsidP="00B069AD">
            <w:pPr>
              <w:jc w:val="center"/>
              <w:rPr>
                <w:color w:val="000000"/>
              </w:rPr>
            </w:pPr>
            <w:r w:rsidRPr="00880247">
              <w:rPr>
                <w:color w:val="000000"/>
              </w:rPr>
              <w:t>1</w:t>
            </w:r>
            <w:r>
              <w:rPr>
                <w:color w:val="000000"/>
              </w:rPr>
              <w:t>3</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 xml:space="preserve">‘Probation in Ukraine: its role in the judicial process and execution of criminal sentences’ </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29</w:t>
            </w:r>
          </w:p>
        </w:tc>
        <w:tc>
          <w:tcPr>
            <w:tcW w:w="1134" w:type="dxa"/>
            <w:vAlign w:val="center"/>
          </w:tcPr>
          <w:p w:rsidR="00B069AD" w:rsidRPr="00880247" w:rsidRDefault="00B069AD" w:rsidP="00B069AD">
            <w:pPr>
              <w:jc w:val="center"/>
              <w:rPr>
                <w:color w:val="000000"/>
              </w:rPr>
            </w:pPr>
            <w:r w:rsidRPr="00880247">
              <w:rPr>
                <w:color w:val="000000"/>
              </w:rPr>
              <w:t>29</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 xml:space="preserve">‘Psychological peculiarities of communication with participants of the trial who have experience of psychotraumatic influence </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13</w:t>
            </w:r>
          </w:p>
        </w:tc>
        <w:tc>
          <w:tcPr>
            <w:tcW w:w="1134" w:type="dxa"/>
            <w:vAlign w:val="center"/>
          </w:tcPr>
          <w:p w:rsidR="00B069AD" w:rsidRPr="00880247" w:rsidRDefault="00B069AD" w:rsidP="00B069AD">
            <w:pPr>
              <w:jc w:val="center"/>
              <w:rPr>
                <w:color w:val="000000"/>
              </w:rPr>
            </w:pPr>
            <w:r w:rsidRPr="00880247">
              <w:rPr>
                <w:color w:val="000000"/>
              </w:rPr>
              <w:t>13</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‘Consideration of criminal proceedings related to domestic violence’</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9</w:t>
            </w:r>
          </w:p>
        </w:tc>
        <w:tc>
          <w:tcPr>
            <w:tcW w:w="1134" w:type="dxa"/>
            <w:vAlign w:val="center"/>
          </w:tcPr>
          <w:p w:rsidR="00B069AD" w:rsidRPr="00880247" w:rsidRDefault="00B069AD" w:rsidP="00B069AD">
            <w:pPr>
              <w:jc w:val="center"/>
              <w:rPr>
                <w:color w:val="000000"/>
              </w:rPr>
            </w:pPr>
            <w:r w:rsidRPr="00880247">
              <w:rPr>
                <w:color w:val="000000"/>
              </w:rPr>
              <w:t>9</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 xml:space="preserve">‘Judicial ethics’ </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26</w:t>
            </w: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5</w:t>
            </w:r>
          </w:p>
        </w:tc>
        <w:tc>
          <w:tcPr>
            <w:tcW w:w="1134" w:type="dxa"/>
            <w:vAlign w:val="center"/>
          </w:tcPr>
          <w:p w:rsidR="00B069AD" w:rsidRPr="00880247" w:rsidRDefault="00B069AD" w:rsidP="00B069AD">
            <w:pPr>
              <w:jc w:val="center"/>
              <w:rPr>
                <w:color w:val="000000"/>
              </w:rPr>
            </w:pPr>
            <w:r w:rsidRPr="00880247">
              <w:rPr>
                <w:color w:val="000000"/>
              </w:rPr>
              <w:t>31</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‘Management of the courtroom’</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24</w:t>
            </w: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18</w:t>
            </w:r>
          </w:p>
        </w:tc>
        <w:tc>
          <w:tcPr>
            <w:tcW w:w="1134" w:type="dxa"/>
            <w:vAlign w:val="center"/>
          </w:tcPr>
          <w:p w:rsidR="00B069AD" w:rsidRPr="00880247" w:rsidRDefault="00B069AD" w:rsidP="00B069AD">
            <w:pPr>
              <w:jc w:val="center"/>
              <w:rPr>
                <w:color w:val="000000"/>
              </w:rPr>
            </w:pPr>
            <w:r w:rsidRPr="00880247">
              <w:rPr>
                <w:color w:val="000000"/>
              </w:rPr>
              <w:t>42</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 xml:space="preserve">‘Time management in judicial activity’ </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24</w:t>
            </w: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11</w:t>
            </w:r>
          </w:p>
        </w:tc>
        <w:tc>
          <w:tcPr>
            <w:tcW w:w="1134" w:type="dxa"/>
            <w:vAlign w:val="center"/>
          </w:tcPr>
          <w:p w:rsidR="00B069AD" w:rsidRPr="00880247" w:rsidRDefault="00B069AD" w:rsidP="00B069AD">
            <w:pPr>
              <w:jc w:val="center"/>
              <w:rPr>
                <w:color w:val="000000"/>
              </w:rPr>
            </w:pPr>
            <w:r w:rsidRPr="00880247">
              <w:rPr>
                <w:color w:val="000000"/>
              </w:rPr>
              <w:t>35</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‘Socio-economic competence of a judge’</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Pr>
                <w:rFonts w:cs="Times New Roman"/>
                <w:lang w:eastAsia="ru-RU"/>
              </w:rPr>
              <w:t>18</w:t>
            </w:r>
          </w:p>
        </w:tc>
        <w:tc>
          <w:tcPr>
            <w:tcW w:w="1134" w:type="dxa"/>
            <w:vAlign w:val="center"/>
          </w:tcPr>
          <w:p w:rsidR="00B069AD" w:rsidRPr="00880247" w:rsidRDefault="00B069AD" w:rsidP="00B069AD">
            <w:pPr>
              <w:jc w:val="center"/>
              <w:rPr>
                <w:color w:val="000000"/>
              </w:rPr>
            </w:pPr>
            <w:r>
              <w:rPr>
                <w:color w:val="000000"/>
              </w:rPr>
              <w:t>18</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 Introduction to Article 5. The right to liberty and security of person’</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2</w:t>
            </w:r>
            <w:r>
              <w:rPr>
                <w:rFonts w:cs="Times New Roman"/>
                <w:lang w:eastAsia="ru-RU"/>
              </w:rPr>
              <w:t>5</w:t>
            </w:r>
          </w:p>
        </w:tc>
        <w:tc>
          <w:tcPr>
            <w:tcW w:w="1134" w:type="dxa"/>
            <w:vAlign w:val="center"/>
          </w:tcPr>
          <w:p w:rsidR="00B069AD" w:rsidRPr="00880247" w:rsidRDefault="00B069AD" w:rsidP="00B069AD">
            <w:pPr>
              <w:jc w:val="center"/>
              <w:rPr>
                <w:color w:val="000000"/>
              </w:rPr>
            </w:pPr>
            <w:r w:rsidRPr="00880247">
              <w:rPr>
                <w:color w:val="000000"/>
              </w:rPr>
              <w:t>2</w:t>
            </w:r>
            <w:r>
              <w:rPr>
                <w:color w:val="000000"/>
              </w:rPr>
              <w:t>5</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‘Pre-trial investigation and the ECHR’</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Pr>
                <w:rFonts w:cs="Times New Roman"/>
                <w:lang w:eastAsia="ru-RU"/>
              </w:rPr>
              <w:t>17</w:t>
            </w:r>
          </w:p>
        </w:tc>
        <w:tc>
          <w:tcPr>
            <w:tcW w:w="1134" w:type="dxa"/>
            <w:vAlign w:val="center"/>
          </w:tcPr>
          <w:p w:rsidR="00B069AD" w:rsidRPr="00880247" w:rsidRDefault="00B069AD" w:rsidP="00B069AD">
            <w:pPr>
              <w:jc w:val="center"/>
              <w:rPr>
                <w:color w:val="000000"/>
              </w:rPr>
            </w:pPr>
            <w:r>
              <w:rPr>
                <w:color w:val="000000"/>
              </w:rPr>
              <w:t>17</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‘Training course for judges: combating hate speech’</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2</w:t>
            </w:r>
            <w:r>
              <w:rPr>
                <w:rFonts w:cs="Times New Roman"/>
                <w:lang w:eastAsia="ru-RU"/>
              </w:rPr>
              <w:t>3</w:t>
            </w:r>
          </w:p>
        </w:tc>
        <w:tc>
          <w:tcPr>
            <w:tcW w:w="1134" w:type="dxa"/>
            <w:vAlign w:val="center"/>
          </w:tcPr>
          <w:p w:rsidR="00B069AD" w:rsidRPr="00880247" w:rsidRDefault="00B069AD" w:rsidP="00B069AD">
            <w:pPr>
              <w:jc w:val="center"/>
              <w:rPr>
                <w:color w:val="000000"/>
              </w:rPr>
            </w:pPr>
            <w:r w:rsidRPr="00880247">
              <w:rPr>
                <w:color w:val="000000"/>
              </w:rPr>
              <w:t>2</w:t>
            </w:r>
            <w:r>
              <w:rPr>
                <w:color w:val="000000"/>
              </w:rPr>
              <w:t>3</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‘Consideration of cases of offences against sexual freedom and sexual inviolability’</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17</w:t>
            </w:r>
          </w:p>
        </w:tc>
        <w:tc>
          <w:tcPr>
            <w:tcW w:w="1134" w:type="dxa"/>
            <w:vAlign w:val="center"/>
          </w:tcPr>
          <w:p w:rsidR="00B069AD" w:rsidRPr="00880247" w:rsidRDefault="00B069AD" w:rsidP="00B069AD">
            <w:pPr>
              <w:jc w:val="center"/>
              <w:rPr>
                <w:color w:val="000000"/>
              </w:rPr>
            </w:pPr>
            <w:r w:rsidRPr="00880247">
              <w:rPr>
                <w:color w:val="000000"/>
              </w:rPr>
              <w:t>17</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‘Problematic issues of proof in civil proceedings’</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4</w:t>
            </w:r>
            <w:r>
              <w:rPr>
                <w:rFonts w:cs="Times New Roman"/>
                <w:lang w:eastAsia="ru-RU"/>
              </w:rPr>
              <w:t>0</w:t>
            </w:r>
          </w:p>
        </w:tc>
        <w:tc>
          <w:tcPr>
            <w:tcW w:w="1134" w:type="dxa"/>
            <w:vAlign w:val="center"/>
          </w:tcPr>
          <w:p w:rsidR="00B069AD" w:rsidRPr="00880247" w:rsidRDefault="00B069AD" w:rsidP="00B069AD">
            <w:pPr>
              <w:jc w:val="center"/>
              <w:rPr>
                <w:color w:val="000000"/>
              </w:rPr>
            </w:pPr>
            <w:r w:rsidRPr="00880247">
              <w:rPr>
                <w:color w:val="000000"/>
              </w:rPr>
              <w:t>4</w:t>
            </w:r>
            <w:r>
              <w:rPr>
                <w:color w:val="000000"/>
              </w:rPr>
              <w:t>0</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Pr="000224AA" w:rsidRDefault="00B069AD" w:rsidP="00B069AD">
            <w:r w:rsidRPr="000224AA">
              <w:t>‘Topical issues of application of economic procedural legislation’</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880247" w:rsidRDefault="00B069AD" w:rsidP="00B069AD">
            <w:pPr>
              <w:tabs>
                <w:tab w:val="left" w:pos="8509"/>
                <w:tab w:val="left" w:pos="8556"/>
              </w:tabs>
              <w:jc w:val="center"/>
              <w:rPr>
                <w:rFonts w:cs="Times New Roman"/>
                <w:lang w:eastAsia="ru-RU"/>
              </w:rPr>
            </w:pPr>
            <w:r w:rsidRPr="00880247">
              <w:rPr>
                <w:rFonts w:cs="Times New Roman"/>
                <w:lang w:eastAsia="ru-RU"/>
              </w:rPr>
              <w:t>1</w:t>
            </w:r>
            <w:r>
              <w:rPr>
                <w:rFonts w:cs="Times New Roman"/>
                <w:lang w:eastAsia="ru-RU"/>
              </w:rPr>
              <w:t>1</w:t>
            </w:r>
          </w:p>
        </w:tc>
        <w:tc>
          <w:tcPr>
            <w:tcW w:w="1134" w:type="dxa"/>
            <w:vAlign w:val="center"/>
          </w:tcPr>
          <w:p w:rsidR="00B069AD" w:rsidRPr="00880247" w:rsidRDefault="00B069AD" w:rsidP="00B069AD">
            <w:pPr>
              <w:jc w:val="center"/>
              <w:rPr>
                <w:color w:val="000000"/>
              </w:rPr>
            </w:pPr>
            <w:r w:rsidRPr="00880247">
              <w:rPr>
                <w:color w:val="000000"/>
              </w:rPr>
              <w:t>1</w:t>
            </w:r>
            <w:r>
              <w:rPr>
                <w:color w:val="000000"/>
              </w:rPr>
              <w:t>1</w:t>
            </w:r>
          </w:p>
        </w:tc>
      </w:tr>
      <w:tr w:rsidR="00B069AD" w:rsidTr="00BA4804">
        <w:trPr>
          <w:jc w:val="center"/>
        </w:trPr>
        <w:tc>
          <w:tcPr>
            <w:tcW w:w="704" w:type="dxa"/>
            <w:vAlign w:val="center"/>
          </w:tcPr>
          <w:p w:rsidR="00B069AD" w:rsidRPr="00880247" w:rsidRDefault="00B069AD" w:rsidP="00847DB5">
            <w:pPr>
              <w:pStyle w:val="a5"/>
              <w:numPr>
                <w:ilvl w:val="0"/>
                <w:numId w:val="1"/>
              </w:numPr>
              <w:tabs>
                <w:tab w:val="left" w:pos="8509"/>
                <w:tab w:val="left" w:pos="8556"/>
              </w:tabs>
              <w:jc w:val="both"/>
              <w:rPr>
                <w:lang w:eastAsia="ru-RU"/>
              </w:rPr>
            </w:pPr>
          </w:p>
        </w:tc>
        <w:tc>
          <w:tcPr>
            <w:tcW w:w="5812" w:type="dxa"/>
          </w:tcPr>
          <w:p w:rsidR="00B069AD" w:rsidRDefault="00B069AD" w:rsidP="00B069AD">
            <w:r w:rsidRPr="000224AA">
              <w:t>‘Ensuring gender equality’</w:t>
            </w:r>
          </w:p>
        </w:tc>
        <w:tc>
          <w:tcPr>
            <w:tcW w:w="1134" w:type="dxa"/>
            <w:vAlign w:val="center"/>
          </w:tcPr>
          <w:p w:rsidR="00B069AD" w:rsidRPr="00880247" w:rsidRDefault="00B069AD" w:rsidP="00B069AD">
            <w:pPr>
              <w:tabs>
                <w:tab w:val="left" w:pos="8509"/>
                <w:tab w:val="left" w:pos="8556"/>
              </w:tabs>
              <w:jc w:val="center"/>
              <w:rPr>
                <w:rFonts w:cs="Times New Roman"/>
                <w:lang w:eastAsia="ru-RU"/>
              </w:rPr>
            </w:pPr>
          </w:p>
        </w:tc>
        <w:tc>
          <w:tcPr>
            <w:tcW w:w="1276" w:type="dxa"/>
            <w:vAlign w:val="center"/>
          </w:tcPr>
          <w:p w:rsidR="00B069AD" w:rsidRPr="003D60F0" w:rsidRDefault="00B069AD" w:rsidP="00B069AD">
            <w:pPr>
              <w:tabs>
                <w:tab w:val="left" w:pos="8509"/>
                <w:tab w:val="left" w:pos="8556"/>
              </w:tabs>
              <w:jc w:val="center"/>
              <w:rPr>
                <w:rFonts w:cs="Times New Roman"/>
                <w:lang w:eastAsia="ru-RU"/>
              </w:rPr>
            </w:pPr>
            <w:r w:rsidRPr="003D60F0">
              <w:rPr>
                <w:rFonts w:cs="Times New Roman"/>
                <w:lang w:eastAsia="ru-RU"/>
              </w:rPr>
              <w:t>6</w:t>
            </w:r>
          </w:p>
        </w:tc>
        <w:tc>
          <w:tcPr>
            <w:tcW w:w="1134" w:type="dxa"/>
            <w:vAlign w:val="center"/>
          </w:tcPr>
          <w:p w:rsidR="00B069AD" w:rsidRPr="003D60F0" w:rsidRDefault="00B069AD" w:rsidP="00B069AD">
            <w:pPr>
              <w:jc w:val="center"/>
            </w:pPr>
            <w:r w:rsidRPr="003D60F0">
              <w:rPr>
                <w:rFonts w:ascii="Calibri" w:hAnsi="Calibri"/>
                <w:color w:val="000000"/>
              </w:rPr>
              <w:t>6</w:t>
            </w:r>
          </w:p>
        </w:tc>
      </w:tr>
      <w:tr w:rsidR="007F1817" w:rsidRPr="00B45F3A" w:rsidTr="005974C7">
        <w:trPr>
          <w:jc w:val="center"/>
        </w:trPr>
        <w:tc>
          <w:tcPr>
            <w:tcW w:w="704" w:type="dxa"/>
            <w:vAlign w:val="center"/>
          </w:tcPr>
          <w:p w:rsidR="007F1817" w:rsidRPr="002C3AFE" w:rsidRDefault="007F1817" w:rsidP="002C3AFE">
            <w:pPr>
              <w:tabs>
                <w:tab w:val="left" w:pos="8509"/>
                <w:tab w:val="left" w:pos="8556"/>
              </w:tabs>
              <w:jc w:val="both"/>
              <w:rPr>
                <w:b/>
                <w:lang w:eastAsia="ru-RU"/>
              </w:rPr>
            </w:pPr>
          </w:p>
        </w:tc>
        <w:tc>
          <w:tcPr>
            <w:tcW w:w="5812" w:type="dxa"/>
            <w:vAlign w:val="center"/>
          </w:tcPr>
          <w:p w:rsidR="007F1817" w:rsidRPr="00880247" w:rsidRDefault="007F1817" w:rsidP="001049B5">
            <w:pPr>
              <w:tabs>
                <w:tab w:val="left" w:pos="1168"/>
              </w:tabs>
              <w:rPr>
                <w:b/>
                <w:sz w:val="20"/>
                <w:szCs w:val="20"/>
                <w:lang w:eastAsia="ru-RU"/>
              </w:rPr>
            </w:pPr>
            <w:r w:rsidRPr="00880247">
              <w:rPr>
                <w:b/>
                <w:sz w:val="20"/>
                <w:szCs w:val="20"/>
                <w:lang w:eastAsia="ru-RU"/>
              </w:rPr>
              <w:t>УСЬОГО</w:t>
            </w:r>
          </w:p>
        </w:tc>
        <w:tc>
          <w:tcPr>
            <w:tcW w:w="1134" w:type="dxa"/>
            <w:vAlign w:val="center"/>
          </w:tcPr>
          <w:p w:rsidR="007F1817" w:rsidRPr="00880247" w:rsidRDefault="00D07EA6" w:rsidP="00D07EA6">
            <w:pPr>
              <w:tabs>
                <w:tab w:val="left" w:pos="8509"/>
                <w:tab w:val="left" w:pos="8556"/>
              </w:tabs>
              <w:jc w:val="center"/>
              <w:rPr>
                <w:rFonts w:cs="Times New Roman"/>
                <w:b/>
                <w:lang w:eastAsia="ru-RU"/>
              </w:rPr>
            </w:pPr>
            <w:r w:rsidRPr="00880247">
              <w:rPr>
                <w:rFonts w:cs="Times New Roman"/>
                <w:b/>
                <w:lang w:eastAsia="ru-RU"/>
              </w:rPr>
              <w:t>268</w:t>
            </w:r>
          </w:p>
        </w:tc>
        <w:tc>
          <w:tcPr>
            <w:tcW w:w="1276" w:type="dxa"/>
            <w:vAlign w:val="center"/>
          </w:tcPr>
          <w:p w:rsidR="007F1817" w:rsidRPr="00880247" w:rsidRDefault="0074735B" w:rsidP="003D60F0">
            <w:pPr>
              <w:tabs>
                <w:tab w:val="left" w:pos="8509"/>
                <w:tab w:val="left" w:pos="8556"/>
              </w:tabs>
              <w:jc w:val="center"/>
              <w:rPr>
                <w:rFonts w:cs="Times New Roman"/>
                <w:b/>
                <w:color w:val="FF0000"/>
                <w:lang w:eastAsia="ru-RU"/>
              </w:rPr>
            </w:pPr>
            <w:r w:rsidRPr="00880247">
              <w:rPr>
                <w:rFonts w:cs="Times New Roman"/>
                <w:b/>
                <w:lang w:eastAsia="ru-RU"/>
              </w:rPr>
              <w:t>4</w:t>
            </w:r>
            <w:r w:rsidR="003D60F0">
              <w:rPr>
                <w:rFonts w:cs="Times New Roman"/>
                <w:b/>
                <w:lang w:eastAsia="ru-RU"/>
              </w:rPr>
              <w:t>40</w:t>
            </w:r>
          </w:p>
        </w:tc>
        <w:tc>
          <w:tcPr>
            <w:tcW w:w="1134" w:type="dxa"/>
            <w:vAlign w:val="center"/>
          </w:tcPr>
          <w:p w:rsidR="007F1817" w:rsidRPr="00880247" w:rsidRDefault="0074735B" w:rsidP="003D60F0">
            <w:pPr>
              <w:tabs>
                <w:tab w:val="left" w:pos="8509"/>
                <w:tab w:val="left" w:pos="8556"/>
              </w:tabs>
              <w:jc w:val="center"/>
              <w:rPr>
                <w:rFonts w:cs="Times New Roman"/>
                <w:b/>
                <w:color w:val="FF0000"/>
                <w:lang w:eastAsia="ru-RU"/>
              </w:rPr>
            </w:pPr>
            <w:r w:rsidRPr="00880247">
              <w:rPr>
                <w:rFonts w:cs="Times New Roman"/>
                <w:b/>
                <w:lang w:eastAsia="ru-RU"/>
              </w:rPr>
              <w:t>7</w:t>
            </w:r>
            <w:r w:rsidR="003D60F0">
              <w:rPr>
                <w:rFonts w:cs="Times New Roman"/>
                <w:b/>
                <w:lang w:eastAsia="ru-RU"/>
              </w:rPr>
              <w:t>08</w:t>
            </w:r>
          </w:p>
        </w:tc>
      </w:tr>
    </w:tbl>
    <w:tbl>
      <w:tblPr>
        <w:tblW w:w="9746" w:type="dxa"/>
        <w:tblInd w:w="108" w:type="dxa"/>
        <w:shd w:val="clear" w:color="auto" w:fill="FFFFFF" w:themeFill="background1"/>
        <w:tblLook w:val="00A0" w:firstRow="1" w:lastRow="0" w:firstColumn="1" w:lastColumn="0" w:noHBand="0" w:noVBand="0"/>
      </w:tblPr>
      <w:tblGrid>
        <w:gridCol w:w="9746"/>
      </w:tblGrid>
      <w:tr w:rsidR="00300DEE" w:rsidRPr="00516FAF" w:rsidTr="00FA7E5C">
        <w:trPr>
          <w:trHeight w:val="567"/>
        </w:trPr>
        <w:tc>
          <w:tcPr>
            <w:tcW w:w="9746" w:type="dxa"/>
            <w:shd w:val="clear" w:color="auto" w:fill="FFFFFF" w:themeFill="background1"/>
          </w:tcPr>
          <w:p w:rsidR="008B05E4" w:rsidRPr="00516FAF" w:rsidRDefault="008B05E4" w:rsidP="00BC09A8">
            <w:pPr>
              <w:spacing w:after="0"/>
              <w:rPr>
                <w:rFonts w:ascii="Times New Roman" w:hAnsi="Times New Roman" w:cs="Times New Roman"/>
                <w:sz w:val="24"/>
                <w:szCs w:val="24"/>
                <w:lang w:val="uk-UA"/>
              </w:rPr>
            </w:pPr>
          </w:p>
        </w:tc>
      </w:tr>
    </w:tbl>
    <w:p w:rsidR="00B069AD" w:rsidRPr="00B069AD" w:rsidRDefault="00A04120" w:rsidP="00B069AD">
      <w:pPr>
        <w:tabs>
          <w:tab w:val="left" w:pos="1134"/>
        </w:tabs>
        <w:spacing w:after="0"/>
        <w:jc w:val="both"/>
        <w:rPr>
          <w:rFonts w:ascii="Times New Roman" w:hAnsi="Times New Roman" w:cs="Times New Roman"/>
          <w:bCs/>
          <w:sz w:val="28"/>
          <w:szCs w:val="28"/>
          <w:lang w:val="uk-UA"/>
        </w:rPr>
      </w:pPr>
      <w:r>
        <w:rPr>
          <w:rFonts w:ascii="Times New Roman" w:hAnsi="Times New Roman" w:cs="Times New Roman"/>
          <w:sz w:val="28"/>
          <w:szCs w:val="28"/>
          <w:lang w:val="uk-UA" w:eastAsia="ru-RU"/>
        </w:rPr>
        <w:tab/>
      </w:r>
      <w:r w:rsidR="00B069AD" w:rsidRPr="00B069AD">
        <w:rPr>
          <w:rFonts w:ascii="Times New Roman" w:hAnsi="Times New Roman" w:cs="Times New Roman"/>
          <w:bCs/>
          <w:sz w:val="28"/>
          <w:szCs w:val="28"/>
          <w:lang w:val="uk-UA"/>
        </w:rPr>
        <w:t>In total, in 2021, 227 training and periodic training sessions for judges were held at the expense of the State Budget of Ukraine and funds from international organisations, which were attended by</w:t>
      </w:r>
    </w:p>
    <w:p w:rsidR="00B069AD" w:rsidRPr="00B069AD" w:rsidRDefault="00B069AD" w:rsidP="00847DB5">
      <w:pPr>
        <w:pStyle w:val="a5"/>
        <w:numPr>
          <w:ilvl w:val="0"/>
          <w:numId w:val="7"/>
        </w:numPr>
        <w:tabs>
          <w:tab w:val="left" w:pos="1134"/>
        </w:tabs>
        <w:spacing w:after="0"/>
        <w:jc w:val="both"/>
        <w:rPr>
          <w:rFonts w:ascii="Times New Roman" w:hAnsi="Times New Roman"/>
          <w:bCs/>
          <w:sz w:val="28"/>
          <w:szCs w:val="28"/>
        </w:rPr>
      </w:pPr>
      <w:r w:rsidRPr="00B069AD">
        <w:rPr>
          <w:rFonts w:ascii="Times New Roman" w:hAnsi="Times New Roman"/>
          <w:bCs/>
          <w:sz w:val="28"/>
          <w:szCs w:val="28"/>
        </w:rPr>
        <w:t xml:space="preserve">to maintain the qualifications of 2026 judges, including those elected to administrative positions; </w:t>
      </w:r>
    </w:p>
    <w:p w:rsidR="00B069AD" w:rsidRPr="00B069AD" w:rsidRDefault="00B069AD" w:rsidP="00847DB5">
      <w:pPr>
        <w:pStyle w:val="a5"/>
        <w:numPr>
          <w:ilvl w:val="0"/>
          <w:numId w:val="7"/>
        </w:numPr>
        <w:tabs>
          <w:tab w:val="left" w:pos="1134"/>
        </w:tabs>
        <w:spacing w:after="0"/>
        <w:jc w:val="both"/>
        <w:rPr>
          <w:rFonts w:ascii="Times New Roman" w:hAnsi="Times New Roman"/>
          <w:bCs/>
          <w:sz w:val="28"/>
          <w:szCs w:val="28"/>
        </w:rPr>
      </w:pPr>
      <w:r w:rsidRPr="00B069AD">
        <w:rPr>
          <w:rFonts w:ascii="Times New Roman" w:hAnsi="Times New Roman"/>
          <w:bCs/>
          <w:sz w:val="28"/>
          <w:szCs w:val="28"/>
        </w:rPr>
        <w:t>periodic training to improve the qualifications of 6056 judges.</w:t>
      </w:r>
    </w:p>
    <w:p w:rsidR="00B069AD" w:rsidRPr="00B069AD" w:rsidRDefault="00B069AD" w:rsidP="00B069AD">
      <w:pPr>
        <w:tabs>
          <w:tab w:val="left" w:pos="1134"/>
        </w:tabs>
        <w:spacing w:after="0"/>
        <w:jc w:val="both"/>
        <w:rPr>
          <w:rFonts w:ascii="Times New Roman" w:hAnsi="Times New Roman" w:cs="Times New Roman"/>
          <w:bCs/>
          <w:sz w:val="28"/>
          <w:szCs w:val="28"/>
          <w:lang w:val="uk-UA"/>
        </w:rPr>
      </w:pPr>
      <w:r w:rsidRPr="00B069AD">
        <w:rPr>
          <w:rFonts w:ascii="Times New Roman" w:hAnsi="Times New Roman" w:cs="Times New Roman"/>
          <w:bCs/>
          <w:sz w:val="28"/>
          <w:szCs w:val="28"/>
          <w:lang w:val="uk-UA"/>
        </w:rPr>
        <w:t>In 2021, in accordance with the requirements of the Law and the Regulation on conducting training courses to improve the qualifications of judges temporarily suspended from the administration of justice, the National School of Judges retrained 5 judges who had been temporarily suspended from the administration of justice by the High Council of Justice as a disciplinary sanction.</w:t>
      </w:r>
    </w:p>
    <w:p w:rsidR="00B069AD" w:rsidRPr="00B069AD" w:rsidRDefault="00B069AD" w:rsidP="00B069AD">
      <w:pPr>
        <w:tabs>
          <w:tab w:val="left" w:pos="1134"/>
        </w:tabs>
        <w:spacing w:after="0"/>
        <w:jc w:val="both"/>
        <w:rPr>
          <w:rFonts w:ascii="Times New Roman" w:hAnsi="Times New Roman" w:cs="Times New Roman"/>
          <w:bCs/>
          <w:sz w:val="28"/>
          <w:szCs w:val="28"/>
          <w:lang w:val="uk-UA"/>
        </w:rPr>
      </w:pPr>
      <w:r w:rsidRPr="00B069AD">
        <w:rPr>
          <w:rFonts w:ascii="Times New Roman" w:hAnsi="Times New Roman" w:cs="Times New Roman"/>
          <w:bCs/>
          <w:sz w:val="28"/>
          <w:szCs w:val="28"/>
          <w:lang w:val="uk-UA"/>
        </w:rPr>
        <w:t>The courses were conducted to improve the qualifications of judges of this category, deepen their knowledge in a particular area of law, and acquire practical skills necessary for judicial work.</w:t>
      </w:r>
    </w:p>
    <w:p w:rsidR="00B069AD" w:rsidRPr="00B069AD" w:rsidRDefault="00B069AD" w:rsidP="00B069AD">
      <w:pPr>
        <w:tabs>
          <w:tab w:val="left" w:pos="1134"/>
        </w:tabs>
        <w:spacing w:after="0"/>
        <w:jc w:val="both"/>
        <w:rPr>
          <w:rFonts w:ascii="Times New Roman" w:hAnsi="Times New Roman" w:cs="Times New Roman"/>
          <w:bCs/>
          <w:sz w:val="28"/>
          <w:szCs w:val="28"/>
          <w:lang w:val="uk-UA"/>
        </w:rPr>
      </w:pPr>
      <w:r w:rsidRPr="00B069AD">
        <w:rPr>
          <w:rFonts w:ascii="Times New Roman" w:hAnsi="Times New Roman" w:cs="Times New Roman"/>
          <w:bCs/>
          <w:sz w:val="28"/>
          <w:szCs w:val="28"/>
          <w:lang w:val="uk-UA"/>
        </w:rPr>
        <w:t>The judges took these courses under the guidance of a tutor in accordance with individual programmes that included theoretical and practical classes, professional and educational practice in court, writing an essay and independent work. A report on the course was sent to the Secretariat of the High Qualification Commission of Judges of Ukraine.</w:t>
      </w:r>
    </w:p>
    <w:p w:rsidR="00300DEE" w:rsidRDefault="00B069AD" w:rsidP="00B069AD">
      <w:pPr>
        <w:tabs>
          <w:tab w:val="left" w:pos="1134"/>
        </w:tabs>
        <w:spacing w:after="0"/>
        <w:jc w:val="both"/>
        <w:rPr>
          <w:rFonts w:ascii="Times New Roman" w:hAnsi="Times New Roman" w:cs="Times New Roman"/>
          <w:bCs/>
          <w:sz w:val="28"/>
          <w:szCs w:val="28"/>
          <w:lang w:val="uk-UA"/>
        </w:rPr>
      </w:pPr>
      <w:r w:rsidRPr="00B069AD">
        <w:rPr>
          <w:rFonts w:ascii="Times New Roman" w:hAnsi="Times New Roman" w:cs="Times New Roman"/>
          <w:bCs/>
          <w:sz w:val="28"/>
          <w:szCs w:val="28"/>
          <w:lang w:val="uk-UA"/>
        </w:rPr>
        <w:t>The activities of the National School of Judges in the field of judicial education in 2021 are characterised by the statistical data presented in the form of diagrams.</w:t>
      </w:r>
    </w:p>
    <w:p w:rsidR="00B069AD" w:rsidRDefault="00B069AD" w:rsidP="00B069AD">
      <w:pPr>
        <w:tabs>
          <w:tab w:val="left" w:pos="1134"/>
        </w:tabs>
        <w:spacing w:after="0"/>
        <w:jc w:val="both"/>
        <w:rPr>
          <w:rFonts w:ascii="Times New Roman" w:hAnsi="Times New Roman" w:cs="Times New Roman"/>
          <w:bCs/>
          <w:sz w:val="28"/>
          <w:szCs w:val="28"/>
          <w:lang w:val="uk-UA"/>
        </w:rPr>
      </w:pPr>
    </w:p>
    <w:p w:rsidR="00B069AD" w:rsidRPr="00B069AD" w:rsidRDefault="00B069AD" w:rsidP="00B069AD">
      <w:pPr>
        <w:tabs>
          <w:tab w:val="left" w:pos="1134"/>
        </w:tabs>
        <w:spacing w:after="0"/>
        <w:jc w:val="both"/>
        <w:rPr>
          <w:lang w:val="en-US"/>
        </w:rPr>
      </w:pPr>
    </w:p>
    <w:p w:rsidR="00300DEE" w:rsidRDefault="00A551A3" w:rsidP="00606454">
      <w:pPr>
        <w:pStyle w:val="11"/>
        <w:ind w:left="0" w:firstLine="284"/>
        <w:jc w:val="center"/>
      </w:pPr>
      <w:r w:rsidRPr="003F5103">
        <w:rPr>
          <w:noProof/>
          <w:lang w:eastAsia="uk-UA"/>
        </w:rPr>
        <w:lastRenderedPageBreak/>
        <w:drawing>
          <wp:inline distT="0" distB="0" distL="0" distR="0">
            <wp:extent cx="5743575" cy="3819525"/>
            <wp:effectExtent l="0" t="0" r="9525" b="9525"/>
            <wp:docPr id="53" name="Диаграмма 3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A36C6D" w:rsidRDefault="00A36C6D" w:rsidP="00300DEE">
      <w:pPr>
        <w:pStyle w:val="11"/>
        <w:ind w:left="0" w:firstLine="709"/>
        <w:jc w:val="center"/>
      </w:pPr>
    </w:p>
    <w:p w:rsidR="00300DEE" w:rsidRPr="003F5103" w:rsidRDefault="00300DEE" w:rsidP="00300DEE">
      <w:pPr>
        <w:pStyle w:val="11"/>
        <w:spacing w:after="120"/>
        <w:ind w:left="0" w:right="-143"/>
        <w:jc w:val="center"/>
      </w:pPr>
      <w:r w:rsidRPr="003F5103">
        <w:rPr>
          <w:noProof/>
          <w:lang w:eastAsia="uk-UA"/>
        </w:rPr>
        <w:drawing>
          <wp:inline distT="0" distB="0" distL="0" distR="0">
            <wp:extent cx="5772150" cy="4009292"/>
            <wp:effectExtent l="0" t="0" r="0" b="10795"/>
            <wp:docPr id="54"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300DEE" w:rsidRDefault="00300DEE" w:rsidP="00300DEE">
      <w:pPr>
        <w:spacing w:after="0"/>
        <w:rPr>
          <w:rFonts w:ascii="Times New Roman" w:hAnsi="Times New Roman" w:cs="Times New Roman"/>
          <w:b/>
          <w:bCs/>
          <w:sz w:val="28"/>
          <w:szCs w:val="28"/>
          <w:lang w:val="uk-UA"/>
        </w:rPr>
      </w:pPr>
    </w:p>
    <w:p w:rsidR="009C4714" w:rsidRDefault="009C4714" w:rsidP="00300DEE">
      <w:pPr>
        <w:spacing w:after="0"/>
        <w:rPr>
          <w:rFonts w:ascii="Times New Roman" w:hAnsi="Times New Roman" w:cs="Times New Roman"/>
          <w:b/>
          <w:bCs/>
          <w:sz w:val="28"/>
          <w:szCs w:val="28"/>
          <w:lang w:val="uk-UA"/>
        </w:rPr>
      </w:pPr>
    </w:p>
    <w:p w:rsidR="009C4714" w:rsidRPr="003F5103" w:rsidRDefault="009C4714" w:rsidP="00300DEE">
      <w:pPr>
        <w:spacing w:after="0"/>
        <w:rPr>
          <w:rFonts w:ascii="Times New Roman" w:hAnsi="Times New Roman" w:cs="Times New Roman"/>
          <w:b/>
          <w:bCs/>
          <w:sz w:val="28"/>
          <w:szCs w:val="28"/>
          <w:lang w:val="uk-UA"/>
        </w:rPr>
      </w:pPr>
    </w:p>
    <w:p w:rsidR="00300DEE" w:rsidRPr="003F5103" w:rsidRDefault="00300DEE" w:rsidP="00300DEE">
      <w:pPr>
        <w:spacing w:after="0"/>
        <w:ind w:left="284"/>
        <w:rPr>
          <w:rFonts w:ascii="Times New Roman" w:hAnsi="Times New Roman" w:cs="Times New Roman"/>
          <w:b/>
          <w:bCs/>
          <w:sz w:val="28"/>
          <w:szCs w:val="28"/>
          <w:lang w:val="uk-UA"/>
        </w:rPr>
      </w:pPr>
    </w:p>
    <w:p w:rsidR="00300DEE" w:rsidRPr="003F5103" w:rsidRDefault="00300DEE" w:rsidP="00300DEE">
      <w:pPr>
        <w:pBdr>
          <w:bottom w:val="single" w:sz="4" w:space="1" w:color="auto"/>
        </w:pBdr>
        <w:spacing w:after="0"/>
        <w:ind w:left="284" w:right="282"/>
        <w:rPr>
          <w:rFonts w:ascii="Times New Roman" w:hAnsi="Times New Roman" w:cs="Times New Roman"/>
          <w:b/>
          <w:bCs/>
          <w:sz w:val="28"/>
          <w:szCs w:val="28"/>
          <w:lang w:val="uk-UA"/>
        </w:rPr>
      </w:pPr>
      <w:r w:rsidRPr="003F5103">
        <w:rPr>
          <w:rFonts w:ascii="Times New Roman" w:hAnsi="Times New Roman" w:cs="Times New Roman"/>
          <w:b/>
          <w:bCs/>
          <w:noProof/>
          <w:sz w:val="28"/>
          <w:szCs w:val="28"/>
          <w:lang w:val="uk-UA" w:eastAsia="uk-UA"/>
        </w:rPr>
        <w:drawing>
          <wp:inline distT="0" distB="0" distL="0" distR="0">
            <wp:extent cx="5829300" cy="4000500"/>
            <wp:effectExtent l="0" t="0" r="0" b="0"/>
            <wp:docPr id="55"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775397" w:rsidRDefault="00775397" w:rsidP="00300DEE">
      <w:pPr>
        <w:spacing w:after="0"/>
        <w:ind w:left="284"/>
        <w:jc w:val="center"/>
        <w:rPr>
          <w:rFonts w:ascii="Times New Roman" w:hAnsi="Times New Roman" w:cs="Times New Roman"/>
          <w:bCs/>
          <w:sz w:val="28"/>
          <w:szCs w:val="28"/>
          <w:lang w:val="uk-UA"/>
        </w:rPr>
      </w:pPr>
    </w:p>
    <w:p w:rsidR="0048775D" w:rsidRDefault="0048775D" w:rsidP="00300DEE">
      <w:pPr>
        <w:spacing w:after="0"/>
        <w:ind w:left="284"/>
        <w:jc w:val="center"/>
        <w:rPr>
          <w:rFonts w:ascii="Times New Roman" w:hAnsi="Times New Roman" w:cs="Times New Roman"/>
          <w:bCs/>
          <w:sz w:val="28"/>
          <w:szCs w:val="28"/>
          <w:lang w:val="uk-UA"/>
        </w:rPr>
      </w:pPr>
    </w:p>
    <w:p w:rsidR="00A72428" w:rsidRDefault="00A72428" w:rsidP="00EA69AB">
      <w:pPr>
        <w:spacing w:after="0"/>
        <w:ind w:left="284" w:right="140"/>
        <w:jc w:val="center"/>
        <w:rPr>
          <w:rFonts w:ascii="Times New Roman" w:hAnsi="Times New Roman" w:cs="Times New Roman"/>
          <w:bCs/>
          <w:sz w:val="28"/>
          <w:szCs w:val="28"/>
          <w:lang w:val="uk-UA"/>
        </w:rPr>
      </w:pPr>
      <w:r w:rsidRPr="003F5103">
        <w:rPr>
          <w:rFonts w:ascii="Times New Roman" w:hAnsi="Times New Roman" w:cs="Times New Roman"/>
          <w:noProof/>
          <w:sz w:val="28"/>
          <w:szCs w:val="28"/>
          <w:lang w:val="uk-UA" w:eastAsia="uk-UA"/>
        </w:rPr>
        <w:drawing>
          <wp:inline distT="0" distB="0" distL="0" distR="0" wp14:anchorId="6535EAF6" wp14:editId="6083DD8B">
            <wp:extent cx="5943600" cy="3648075"/>
            <wp:effectExtent l="0" t="0" r="0" b="9525"/>
            <wp:docPr id="30"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300DEE" w:rsidRPr="003F5103" w:rsidRDefault="00300DEE" w:rsidP="00300DEE">
      <w:pPr>
        <w:spacing w:after="0"/>
        <w:ind w:left="284"/>
        <w:jc w:val="center"/>
        <w:rPr>
          <w:rFonts w:ascii="Times New Roman" w:hAnsi="Times New Roman" w:cs="Times New Roman"/>
          <w:b/>
          <w:bCs/>
          <w:sz w:val="28"/>
          <w:szCs w:val="28"/>
          <w:lang w:val="uk-UA"/>
        </w:rPr>
      </w:pPr>
    </w:p>
    <w:p w:rsidR="00300DEE" w:rsidRPr="003F5103" w:rsidRDefault="00300DEE" w:rsidP="00300DEE">
      <w:pPr>
        <w:spacing w:after="0"/>
        <w:jc w:val="center"/>
        <w:rPr>
          <w:rFonts w:ascii="Times New Roman" w:hAnsi="Times New Roman" w:cs="Times New Roman"/>
          <w:b/>
          <w:bCs/>
          <w:sz w:val="28"/>
          <w:szCs w:val="28"/>
          <w:lang w:val="uk-UA"/>
        </w:rPr>
      </w:pPr>
    </w:p>
    <w:p w:rsidR="00BA4804" w:rsidRPr="00BA4804" w:rsidRDefault="00BA4804" w:rsidP="00BA4804">
      <w:pPr>
        <w:spacing w:after="0"/>
        <w:rPr>
          <w:rFonts w:ascii="Times New Roman" w:hAnsi="Times New Roman" w:cs="Times New Roman"/>
          <w:sz w:val="28"/>
          <w:szCs w:val="28"/>
          <w:lang w:val="uk-UA"/>
        </w:rPr>
      </w:pPr>
      <w:r w:rsidRPr="00BA4804">
        <w:rPr>
          <w:rFonts w:ascii="Times New Roman" w:hAnsi="Times New Roman" w:cs="Times New Roman"/>
          <w:sz w:val="28"/>
          <w:szCs w:val="28"/>
          <w:lang w:val="uk-UA"/>
        </w:rPr>
        <w:lastRenderedPageBreak/>
        <w:t xml:space="preserve">Based on the results of the training, a survey was conducted among the trainees to provide feedback and improve the training process. </w:t>
      </w:r>
    </w:p>
    <w:p w:rsidR="00300DEE" w:rsidRDefault="00BA4804" w:rsidP="00BA4804">
      <w:pPr>
        <w:spacing w:after="0"/>
        <w:rPr>
          <w:rFonts w:ascii="Times New Roman" w:hAnsi="Times New Roman" w:cs="Times New Roman"/>
          <w:sz w:val="28"/>
          <w:szCs w:val="28"/>
          <w:lang w:val="uk-UA"/>
        </w:rPr>
      </w:pPr>
      <w:r w:rsidRPr="00BA4804">
        <w:rPr>
          <w:rFonts w:ascii="Times New Roman" w:hAnsi="Times New Roman" w:cs="Times New Roman"/>
          <w:sz w:val="28"/>
          <w:szCs w:val="28"/>
          <w:lang w:val="uk-UA"/>
        </w:rPr>
        <w:t>A summary of the judges' survey data showed that:</w:t>
      </w:r>
    </w:p>
    <w:p w:rsidR="00BA4804" w:rsidRPr="003F5103" w:rsidRDefault="00BA4804" w:rsidP="00BA4804">
      <w:pPr>
        <w:spacing w:after="0"/>
        <w:rPr>
          <w:rFonts w:ascii="Times New Roman" w:hAnsi="Times New Roman" w:cs="Times New Roman"/>
          <w:b/>
          <w:bCs/>
          <w:color w:val="FF0000"/>
          <w:sz w:val="28"/>
          <w:szCs w:val="28"/>
          <w:lang w:val="uk-UA"/>
        </w:rPr>
      </w:pPr>
    </w:p>
    <w:p w:rsidR="00300DEE" w:rsidRPr="003F5103" w:rsidRDefault="00300DEE" w:rsidP="00300DEE">
      <w:pPr>
        <w:tabs>
          <w:tab w:val="left" w:pos="9072"/>
        </w:tabs>
        <w:spacing w:after="0"/>
        <w:rPr>
          <w:rFonts w:ascii="Times New Roman" w:hAnsi="Times New Roman" w:cs="Times New Roman"/>
          <w:noProof/>
          <w:sz w:val="28"/>
          <w:szCs w:val="28"/>
          <w:lang w:val="uk-UA" w:eastAsia="uk-UA"/>
        </w:rPr>
      </w:pPr>
      <w:r w:rsidRPr="003F5103">
        <w:rPr>
          <w:rFonts w:ascii="Times New Roman" w:hAnsi="Times New Roman" w:cs="Times New Roman"/>
          <w:noProof/>
          <w:sz w:val="28"/>
          <w:szCs w:val="28"/>
          <w:lang w:val="uk-UA" w:eastAsia="uk-UA"/>
        </w:rPr>
        <w:drawing>
          <wp:inline distT="0" distB="0" distL="0" distR="0">
            <wp:extent cx="6120130" cy="5188939"/>
            <wp:effectExtent l="0" t="0" r="13970" b="12065"/>
            <wp:docPr id="57" name="Диаграмма 4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300DEE" w:rsidRPr="003F5103" w:rsidRDefault="00300DEE" w:rsidP="00300DEE">
      <w:pPr>
        <w:tabs>
          <w:tab w:val="left" w:pos="9072"/>
        </w:tabs>
        <w:spacing w:after="0"/>
        <w:rPr>
          <w:rFonts w:ascii="Times New Roman" w:hAnsi="Times New Roman" w:cs="Times New Roman"/>
          <w:sz w:val="28"/>
          <w:szCs w:val="28"/>
          <w:lang w:val="uk-UA"/>
        </w:rPr>
      </w:pPr>
    </w:p>
    <w:p w:rsidR="00300DEE" w:rsidRPr="003F5103" w:rsidRDefault="00B23827" w:rsidP="002949C7">
      <w:pPr>
        <w:ind w:firstLine="709"/>
        <w:jc w:val="both"/>
        <w:rPr>
          <w:rFonts w:ascii="Times New Roman" w:hAnsi="Times New Roman" w:cs="Times New Roman"/>
          <w:sz w:val="28"/>
          <w:szCs w:val="28"/>
          <w:lang w:val="uk-UA" w:eastAsia="ru-RU"/>
        </w:rPr>
      </w:pPr>
      <w:r w:rsidRPr="00B23827">
        <w:rPr>
          <w:rFonts w:ascii="Times New Roman" w:hAnsi="Times New Roman" w:cs="Times New Roman"/>
          <w:sz w:val="28"/>
          <w:szCs w:val="28"/>
          <w:lang w:val="uk-UA" w:eastAsia="ru-RU"/>
        </w:rPr>
        <w:t>In accordance with the Law and in order to ensure a unified procedure for the registration of judges, in 2016 the Register of Judges (electronic database) was created and maintained, which from 2012 to 2021 was trained and periodically updated by the National School of Judges</w:t>
      </w:r>
      <w:r w:rsidR="00300DEE" w:rsidRPr="003F5103">
        <w:rPr>
          <w:rFonts w:ascii="Times New Roman" w:hAnsi="Times New Roman" w:cs="Times New Roman"/>
          <w:sz w:val="28"/>
          <w:szCs w:val="28"/>
          <w:lang w:val="uk-UA" w:eastAsia="ru-RU"/>
        </w:rPr>
        <w:t>.</w:t>
      </w:r>
    </w:p>
    <w:p w:rsidR="00300DEE" w:rsidRPr="00B23827" w:rsidRDefault="00300DEE" w:rsidP="002949C7">
      <w:pPr>
        <w:ind w:firstLine="709"/>
        <w:jc w:val="both"/>
        <w:rPr>
          <w:rFonts w:ascii="Times New Roman" w:hAnsi="Times New Roman" w:cs="Times New Roman"/>
          <w:sz w:val="28"/>
          <w:szCs w:val="28"/>
          <w:lang w:val="uk-UA"/>
        </w:rPr>
      </w:pPr>
      <w:r w:rsidRPr="003F5103">
        <w:rPr>
          <w:rFonts w:ascii="Times New Roman" w:hAnsi="Times New Roman" w:cs="Times New Roman"/>
          <w:b/>
          <w:noProof/>
          <w:color w:val="000000" w:themeColor="text1"/>
          <w:sz w:val="28"/>
          <w:szCs w:val="28"/>
          <w:lang w:val="uk-UA" w:eastAsia="uk-UA"/>
        </w:rPr>
        <w:lastRenderedPageBreak/>
        <w:drawing>
          <wp:anchor distT="0" distB="0" distL="114300" distR="114300" simplePos="0" relativeHeight="251683840" behindDoc="1" locked="0" layoutInCell="1" allowOverlap="1">
            <wp:simplePos x="0" y="0"/>
            <wp:positionH relativeFrom="column">
              <wp:posOffset>0</wp:posOffset>
            </wp:positionH>
            <wp:positionV relativeFrom="paragraph">
              <wp:posOffset>8255</wp:posOffset>
            </wp:positionV>
            <wp:extent cx="1752600" cy="2084070"/>
            <wp:effectExtent l="0" t="0" r="0" b="0"/>
            <wp:wrapTight wrapText="bothSides">
              <wp:wrapPolygon edited="0">
                <wp:start x="0" y="0"/>
                <wp:lineTo x="0" y="21324"/>
                <wp:lineTo x="21365" y="21324"/>
                <wp:lineTo x="21365" y="0"/>
                <wp:lineTo x="0" y="0"/>
              </wp:wrapPolygon>
            </wp:wrapTight>
            <wp:docPr id="98" name="Рисунок 98" descr="E:\План НДР 2020\ЗВІТ\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План НДР 2020\ЗВІТ\images.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52600" cy="2084070"/>
                    </a:xfrm>
                    <a:prstGeom prst="rect">
                      <a:avLst/>
                    </a:prstGeom>
                    <a:noFill/>
                    <a:ln>
                      <a:noFill/>
                    </a:ln>
                  </pic:spPr>
                </pic:pic>
              </a:graphicData>
            </a:graphic>
          </wp:anchor>
        </w:drawing>
      </w:r>
      <w:r w:rsidR="00B23827" w:rsidRPr="00B23827">
        <w:rPr>
          <w:lang w:val="en-US"/>
        </w:rPr>
        <w:t xml:space="preserve"> </w:t>
      </w:r>
      <w:r w:rsidR="00B23827" w:rsidRPr="00B23827">
        <w:rPr>
          <w:rFonts w:ascii="Times New Roman" w:hAnsi="Times New Roman" w:cs="Times New Roman"/>
          <w:noProof/>
          <w:color w:val="000000" w:themeColor="text1"/>
          <w:sz w:val="28"/>
          <w:szCs w:val="28"/>
          <w:lang w:val="uk-UA" w:eastAsia="uk-UA"/>
        </w:rPr>
        <w:t>Despite the quarantine restrictions, judicial training activities have intensified. Online classes for judges and distance learning courses were held, and the number of judges who received training and periodic education in 2021 increased significantly compared to 2020. In total, 8082 judges were covered by various forms of training in 2021, which is 1264 more than in 2020 (Annex 1</w:t>
      </w:r>
      <w:r w:rsidR="00D244F9" w:rsidRPr="00B23827">
        <w:rPr>
          <w:rFonts w:ascii="Times New Roman" w:hAnsi="Times New Roman" w:cs="Times New Roman"/>
          <w:bCs/>
          <w:sz w:val="28"/>
          <w:szCs w:val="28"/>
          <w:lang w:val="uk-UA"/>
        </w:rPr>
        <w:t>)</w:t>
      </w:r>
      <w:r w:rsidR="00E70CC3" w:rsidRPr="00B23827">
        <w:rPr>
          <w:rFonts w:ascii="Times New Roman" w:hAnsi="Times New Roman" w:cs="Times New Roman"/>
          <w:bCs/>
          <w:sz w:val="28"/>
          <w:szCs w:val="28"/>
          <w:lang w:val="en-US"/>
        </w:rPr>
        <w:t>.</w:t>
      </w:r>
    </w:p>
    <w:p w:rsidR="00B23827" w:rsidRDefault="00B23827" w:rsidP="002949C7">
      <w:pPr>
        <w:pStyle w:val="12"/>
        <w:ind w:left="0" w:firstLine="709"/>
        <w:jc w:val="both"/>
        <w:rPr>
          <w:rFonts w:eastAsia="Times New Roman"/>
          <w:kern w:val="0"/>
          <w:position w:val="0"/>
          <w:sz w:val="28"/>
          <w:szCs w:val="28"/>
          <w:lang w:eastAsia="en-US"/>
        </w:rPr>
      </w:pPr>
      <w:r w:rsidRPr="00B23827">
        <w:rPr>
          <w:rFonts w:eastAsia="Times New Roman"/>
          <w:kern w:val="0"/>
          <w:position w:val="0"/>
          <w:sz w:val="28"/>
          <w:szCs w:val="28"/>
          <w:lang w:eastAsia="en-US"/>
        </w:rPr>
        <w:t>In order to achieve its goals, the NSJU widely engages the intellectual and financial capabilities of international projects, NGOs and foundations, which in turn facilitates fruitful cooperation to ensure that judges not only study national legislation in depth but also learn from the positive experience of other countries in applying the law.</w:t>
      </w:r>
    </w:p>
    <w:p w:rsidR="00B23827" w:rsidRDefault="00B23827" w:rsidP="002949C7">
      <w:pPr>
        <w:pStyle w:val="12"/>
        <w:ind w:left="0" w:firstLine="709"/>
        <w:jc w:val="both"/>
        <w:rPr>
          <w:rFonts w:eastAsia="Times New Roman"/>
          <w:kern w:val="0"/>
          <w:position w:val="0"/>
          <w:sz w:val="28"/>
          <w:szCs w:val="28"/>
          <w:lang w:eastAsia="en-US"/>
        </w:rPr>
      </w:pPr>
    </w:p>
    <w:p w:rsidR="00300DEE" w:rsidRPr="003F5103" w:rsidRDefault="00B23827" w:rsidP="00300DEE">
      <w:pPr>
        <w:pStyle w:val="12"/>
        <w:ind w:left="0" w:firstLine="709"/>
        <w:jc w:val="both"/>
        <w:rPr>
          <w:sz w:val="28"/>
          <w:szCs w:val="28"/>
        </w:rPr>
      </w:pPr>
      <w:r w:rsidRPr="00B23827">
        <w:rPr>
          <w:sz w:val="28"/>
          <w:szCs w:val="28"/>
        </w:rPr>
        <w:t>The NSJC conducts classes on topical issues of the judiciary, most of which are organised on topics suggested by surveys and based on new legislation. The timing, topics, and attendance of the training groups are coordinated with the courts and international projects.</w:t>
      </w:r>
    </w:p>
    <w:p w:rsidR="00300DEE" w:rsidRPr="003F5103" w:rsidRDefault="00300DEE" w:rsidP="00300DEE">
      <w:pPr>
        <w:pStyle w:val="12"/>
        <w:ind w:left="0" w:firstLine="709"/>
        <w:jc w:val="both"/>
        <w:rPr>
          <w:sz w:val="28"/>
          <w:szCs w:val="28"/>
        </w:rPr>
      </w:pPr>
    </w:p>
    <w:p w:rsidR="00300DEE" w:rsidRPr="003F5103" w:rsidRDefault="00300DEE" w:rsidP="00300DEE">
      <w:pPr>
        <w:pStyle w:val="12"/>
        <w:ind w:left="0" w:firstLine="709"/>
        <w:jc w:val="both"/>
        <w:rPr>
          <w:sz w:val="28"/>
          <w:szCs w:val="28"/>
        </w:rPr>
      </w:pPr>
      <w:r w:rsidRPr="003F5103">
        <w:rPr>
          <w:b/>
          <w:bCs/>
          <w:noProof/>
          <w:sz w:val="28"/>
          <w:szCs w:val="28"/>
          <w:lang w:eastAsia="uk-UA"/>
        </w:rPr>
        <w:drawing>
          <wp:inline distT="0" distB="0" distL="0" distR="0">
            <wp:extent cx="5673592" cy="2657475"/>
            <wp:effectExtent l="0" t="0" r="3810" b="0"/>
            <wp:docPr id="99" name="Рисунок 99" descr="C:\Users\alferovana\Desktop\ynformaczyonnыe-tehnology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ferovana\Desktop\ynformaczyonnыe-tehnologyy.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87903" cy="2664178"/>
                    </a:xfrm>
                    <a:prstGeom prst="rect">
                      <a:avLst/>
                    </a:prstGeom>
                    <a:noFill/>
                    <a:ln>
                      <a:noFill/>
                    </a:ln>
                  </pic:spPr>
                </pic:pic>
              </a:graphicData>
            </a:graphic>
          </wp:inline>
        </w:drawing>
      </w:r>
    </w:p>
    <w:p w:rsidR="00300DEE" w:rsidRPr="003F5103" w:rsidRDefault="00300DEE" w:rsidP="00300DEE">
      <w:pPr>
        <w:pStyle w:val="12"/>
        <w:ind w:left="0" w:firstLine="709"/>
        <w:jc w:val="both"/>
        <w:rPr>
          <w:b/>
          <w:bCs/>
          <w:sz w:val="28"/>
          <w:szCs w:val="28"/>
        </w:rPr>
      </w:pPr>
    </w:p>
    <w:p w:rsidR="00A36C6D" w:rsidRDefault="00A36C6D" w:rsidP="002949C7">
      <w:pPr>
        <w:spacing w:after="0"/>
        <w:ind w:firstLine="709"/>
        <w:jc w:val="both"/>
        <w:rPr>
          <w:rFonts w:ascii="Times New Roman" w:hAnsi="Times New Roman" w:cs="Times New Roman"/>
          <w:sz w:val="28"/>
          <w:szCs w:val="28"/>
          <w:lang w:val="uk-UA"/>
        </w:rPr>
      </w:pPr>
    </w:p>
    <w:p w:rsidR="00B23827" w:rsidRPr="00B23827" w:rsidRDefault="00B23827" w:rsidP="00B23827">
      <w:pPr>
        <w:pStyle w:val="12"/>
        <w:jc w:val="center"/>
        <w:rPr>
          <w:b/>
          <w:bCs/>
          <w:sz w:val="32"/>
          <w:szCs w:val="32"/>
        </w:rPr>
      </w:pPr>
      <w:r w:rsidRPr="00B23827">
        <w:rPr>
          <w:b/>
          <w:bCs/>
          <w:sz w:val="32"/>
          <w:szCs w:val="32"/>
        </w:rPr>
        <w:t>II. Training of court staff</w:t>
      </w:r>
    </w:p>
    <w:p w:rsidR="00D745AD" w:rsidRDefault="00B23827" w:rsidP="00B23827">
      <w:pPr>
        <w:pStyle w:val="12"/>
        <w:jc w:val="center"/>
        <w:rPr>
          <w:b/>
          <w:bCs/>
          <w:sz w:val="32"/>
          <w:szCs w:val="32"/>
        </w:rPr>
      </w:pPr>
      <w:r w:rsidRPr="00B23827">
        <w:rPr>
          <w:b/>
          <w:bCs/>
          <w:sz w:val="32"/>
          <w:szCs w:val="32"/>
        </w:rPr>
        <w:t>and raising their qualification level</w:t>
      </w:r>
    </w:p>
    <w:p w:rsidR="00B23827" w:rsidRPr="00B23827" w:rsidRDefault="00B23827" w:rsidP="00B23827">
      <w:pPr>
        <w:pStyle w:val="12"/>
        <w:jc w:val="center"/>
        <w:rPr>
          <w:b/>
          <w:bCs/>
          <w:sz w:val="32"/>
          <w:szCs w:val="32"/>
        </w:rPr>
      </w:pPr>
    </w:p>
    <w:p w:rsidR="00B23827" w:rsidRDefault="00B23827" w:rsidP="00C26926">
      <w:pPr>
        <w:widowControl w:val="0"/>
        <w:tabs>
          <w:tab w:val="left" w:pos="1985"/>
          <w:tab w:val="left" w:pos="2268"/>
        </w:tabs>
        <w:autoSpaceDE w:val="0"/>
        <w:autoSpaceDN w:val="0"/>
        <w:adjustRightInd w:val="0"/>
        <w:spacing w:after="0"/>
        <w:ind w:firstLine="709"/>
        <w:jc w:val="both"/>
        <w:rPr>
          <w:rFonts w:ascii="Times New Roman" w:eastAsia="Calibri" w:hAnsi="Times New Roman" w:cs="Times New Roman"/>
          <w:kern w:val="24"/>
          <w:position w:val="1"/>
          <w:sz w:val="28"/>
          <w:szCs w:val="28"/>
          <w:lang w:val="uk-UA" w:eastAsia="ru-RU"/>
        </w:rPr>
      </w:pPr>
      <w:r w:rsidRPr="00B23827">
        <w:rPr>
          <w:rFonts w:ascii="Times New Roman" w:eastAsia="Calibri" w:hAnsi="Times New Roman" w:cs="Times New Roman"/>
          <w:kern w:val="24"/>
          <w:position w:val="1"/>
          <w:sz w:val="28"/>
          <w:szCs w:val="28"/>
          <w:lang w:val="uk-UA" w:eastAsia="ru-RU"/>
        </w:rPr>
        <w:t xml:space="preserve">The tasks of the National School of Judges, as defined by law, include training of court staff and advanced training. Such training is carried out in accordance with the Procedure, standardised programmes, and calendar plans for training and distance learning for court staff and advanced training for the year. </w:t>
      </w:r>
    </w:p>
    <w:p w:rsidR="00B23827" w:rsidRDefault="00B23827" w:rsidP="00C26926">
      <w:pPr>
        <w:widowControl w:val="0"/>
        <w:tabs>
          <w:tab w:val="left" w:pos="1985"/>
          <w:tab w:val="left" w:pos="2268"/>
        </w:tabs>
        <w:autoSpaceDE w:val="0"/>
        <w:autoSpaceDN w:val="0"/>
        <w:adjustRightInd w:val="0"/>
        <w:spacing w:after="0"/>
        <w:ind w:firstLine="709"/>
        <w:jc w:val="both"/>
        <w:rPr>
          <w:rFonts w:ascii="Times New Roman" w:eastAsia="Calibri" w:hAnsi="Times New Roman" w:cs="Times New Roman"/>
          <w:kern w:val="24"/>
          <w:position w:val="1"/>
          <w:sz w:val="28"/>
          <w:szCs w:val="28"/>
          <w:lang w:val="uk-UA" w:eastAsia="ru-RU"/>
        </w:rPr>
      </w:pPr>
      <w:r w:rsidRPr="00B23827">
        <w:rPr>
          <w:rFonts w:ascii="Times New Roman" w:eastAsia="Calibri" w:hAnsi="Times New Roman" w:cs="Times New Roman"/>
          <w:kern w:val="24"/>
          <w:position w:val="1"/>
          <w:sz w:val="28"/>
          <w:szCs w:val="28"/>
          <w:lang w:val="uk-UA" w:eastAsia="ru-RU"/>
        </w:rPr>
        <w:t xml:space="preserve">The educational process of court staff is divided into in-service training lasting 3-5 days, one-day (two-day) thematic seminars, workshops, trainings, webinars, </w:t>
      </w:r>
      <w:r w:rsidRPr="00B23827">
        <w:rPr>
          <w:rFonts w:ascii="Times New Roman" w:eastAsia="Calibri" w:hAnsi="Times New Roman" w:cs="Times New Roman"/>
          <w:kern w:val="24"/>
          <w:position w:val="1"/>
          <w:sz w:val="28"/>
          <w:szCs w:val="28"/>
          <w:lang w:val="uk-UA" w:eastAsia="ru-RU"/>
        </w:rPr>
        <w:lastRenderedPageBreak/>
        <w:t xml:space="preserve">distance and online classes (distance courses, training, seminars). </w:t>
      </w:r>
    </w:p>
    <w:p w:rsidR="00B23827" w:rsidRPr="00B23827" w:rsidRDefault="00B23827" w:rsidP="00C26926">
      <w:pPr>
        <w:widowControl w:val="0"/>
        <w:tabs>
          <w:tab w:val="left" w:pos="1985"/>
          <w:tab w:val="left" w:pos="2268"/>
        </w:tabs>
        <w:autoSpaceDE w:val="0"/>
        <w:autoSpaceDN w:val="0"/>
        <w:adjustRightInd w:val="0"/>
        <w:spacing w:after="0"/>
        <w:ind w:firstLine="709"/>
        <w:jc w:val="both"/>
        <w:rPr>
          <w:rFonts w:ascii="Times New Roman" w:eastAsia="Calibri" w:hAnsi="Times New Roman" w:cs="Times New Roman"/>
          <w:bCs/>
          <w:kern w:val="24"/>
          <w:position w:val="1"/>
          <w:sz w:val="28"/>
          <w:szCs w:val="28"/>
          <w:lang w:val="uk-UA" w:eastAsia="ru-RU"/>
        </w:rPr>
      </w:pPr>
      <w:r w:rsidRPr="00B23827">
        <w:rPr>
          <w:rFonts w:ascii="Times New Roman" w:eastAsia="Calibri" w:hAnsi="Times New Roman" w:cs="Times New Roman"/>
          <w:bCs/>
          <w:kern w:val="24"/>
          <w:position w:val="1"/>
          <w:sz w:val="28"/>
          <w:szCs w:val="28"/>
          <w:lang w:val="uk-UA" w:eastAsia="ru-RU"/>
        </w:rPr>
        <w:t>In total, the NSJU held 223 events for court staff, including 90 at the central office and 133 in five regional offices, namely: 94 online training sessions, 74 one-day (two-day) online seminars, 6 offline seminars, 3 workshops, 14 online trainings, and 32 distance learning courses, which covered 18,536 court staff (Annex 2).</w:t>
      </w:r>
    </w:p>
    <w:p w:rsidR="00B23827" w:rsidRP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r w:rsidRPr="00B23827">
        <w:rPr>
          <w:rFonts w:ascii="Times New Roman" w:eastAsia="Calibri" w:hAnsi="Times New Roman" w:cs="Times New Roman"/>
          <w:bCs/>
          <w:kern w:val="24"/>
          <w:position w:val="1"/>
          <w:sz w:val="28"/>
          <w:szCs w:val="28"/>
          <w:lang w:val="uk-UA" w:eastAsia="ru-RU"/>
        </w:rPr>
        <w:t xml:space="preserve">The transition to online classes and distance learning courses is due to the extension of quarantine restrictions and, at the same time, provides more opportunities for court staff to undergo distance (remote) training. This form of training allows to increase the number of students in each class. </w:t>
      </w:r>
    </w:p>
    <w:p w:rsidR="00B23827" w:rsidRP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r w:rsidRPr="00B23827">
        <w:rPr>
          <w:rFonts w:ascii="Times New Roman" w:eastAsia="Calibri" w:hAnsi="Times New Roman" w:cs="Times New Roman"/>
          <w:bCs/>
          <w:kern w:val="24"/>
          <w:position w:val="1"/>
          <w:sz w:val="28"/>
          <w:szCs w:val="28"/>
          <w:lang w:val="uk-UA" w:eastAsia="ru-RU"/>
        </w:rPr>
        <w:t>In 2021, the National School of Judges, in cooperation with the High Anti-Corruption Court, held 3 workshops on ‘Provision of First Aid by Court Staff’.</w:t>
      </w:r>
    </w:p>
    <w:p w:rsidR="00B23827" w:rsidRP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r w:rsidRPr="00B23827">
        <w:rPr>
          <w:rFonts w:ascii="Times New Roman" w:eastAsia="Calibri" w:hAnsi="Times New Roman" w:cs="Times New Roman"/>
          <w:bCs/>
          <w:kern w:val="24"/>
          <w:position w:val="1"/>
          <w:sz w:val="28"/>
          <w:szCs w:val="28"/>
          <w:lang w:val="uk-UA" w:eastAsia="ru-RU"/>
        </w:rPr>
        <w:t>In cooperation with the departments of training of court staff, scientific research on judicial issues and scientific and methodological support for judicial education, and training of teachers (trainers), 4 online trainings for court staff were conducted on Overcoming Gender Stereotypes in the Administration of Justice, Courtroom Management, Conducting a Court Hearing and Communication with Certain Categories of Litigants, and Evidence and Proof in Commercial Proceedings.</w:t>
      </w:r>
    </w:p>
    <w:p w:rsidR="00B23827" w:rsidRP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r w:rsidRPr="00B23827">
        <w:rPr>
          <w:rFonts w:ascii="Times New Roman" w:eastAsia="Calibri" w:hAnsi="Times New Roman" w:cs="Times New Roman"/>
          <w:bCs/>
          <w:kern w:val="24"/>
          <w:position w:val="1"/>
          <w:sz w:val="28"/>
          <w:szCs w:val="28"/>
          <w:lang w:val="uk-UA" w:eastAsia="ru-RU"/>
        </w:rPr>
        <w:t xml:space="preserve">In cooperation with the regional charitable foundation ‘Law and Democracy’ and with the support of the USAID New Justice Program, the NSJ conducted a series of 8 online trainings on ‘Improving Access to Justice for Persons with Hearing Impairments’. </w:t>
      </w:r>
    </w:p>
    <w:p w:rsidR="00B23827" w:rsidRP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r w:rsidRPr="00B23827">
        <w:rPr>
          <w:rFonts w:ascii="Times New Roman" w:eastAsia="Calibri" w:hAnsi="Times New Roman" w:cs="Times New Roman"/>
          <w:bCs/>
          <w:kern w:val="24"/>
          <w:position w:val="1"/>
          <w:sz w:val="28"/>
          <w:szCs w:val="28"/>
          <w:lang w:val="uk-UA" w:eastAsia="ru-RU"/>
        </w:rPr>
        <w:t>In cooperation with the departments for training of court staff and special training of judicial candidates, 2 trainings ‘Ensuring Personal Security of Judges and Their Family Members, Court Staff, and Judicial Security Service Employees. Public Safety’.</w:t>
      </w:r>
    </w:p>
    <w:p w:rsidR="00B23827" w:rsidRP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r w:rsidRPr="00B23827">
        <w:rPr>
          <w:rFonts w:ascii="Times New Roman" w:eastAsia="Calibri" w:hAnsi="Times New Roman" w:cs="Times New Roman"/>
          <w:bCs/>
          <w:kern w:val="24"/>
          <w:position w:val="1"/>
          <w:sz w:val="28"/>
          <w:szCs w:val="28"/>
          <w:lang w:val="uk-UA" w:eastAsia="ru-RU"/>
        </w:rPr>
        <w:t>Together with the Department for Training of Lecturers (Trainers), two distance learning courses for court staff ‘Language of Judicial Procedure’ and ‘Ensuring Gender Equality’ were successfully tested.</w:t>
      </w:r>
    </w:p>
    <w:p w:rsidR="00B23827" w:rsidRP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r w:rsidRPr="00B23827">
        <w:rPr>
          <w:rFonts w:ascii="Times New Roman" w:eastAsia="Calibri" w:hAnsi="Times New Roman" w:cs="Times New Roman"/>
          <w:bCs/>
          <w:kern w:val="24"/>
          <w:position w:val="1"/>
          <w:sz w:val="28"/>
          <w:szCs w:val="28"/>
          <w:lang w:val="uk-UA" w:eastAsia="ru-RU"/>
        </w:rPr>
        <w:t xml:space="preserve">The training programmes for court staff of all categories include topical issues of psychological training on a regular basis. Employees of the Department for Scientific and Methodological Support of Psychological Training of Judges conducted classes for court staff on this topic. </w:t>
      </w:r>
    </w:p>
    <w:p w:rsidR="00C26926"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r w:rsidRPr="00B23827">
        <w:rPr>
          <w:rFonts w:ascii="Times New Roman" w:eastAsia="Calibri" w:hAnsi="Times New Roman" w:cs="Times New Roman"/>
          <w:bCs/>
          <w:kern w:val="24"/>
          <w:position w:val="1"/>
          <w:sz w:val="28"/>
          <w:szCs w:val="28"/>
          <w:lang w:val="uk-UA" w:eastAsia="ru-RU"/>
        </w:rPr>
        <w:t>In 2021, with the assistance of the State Enterprise ‘Information Court Systems’, classes were held on an ongoing basis with the use of a test version of the software on the implementation and operation of the Unified Judicial Information and Telecommunication System (UJITS), as well as work in its individual functions and modules.</w:t>
      </w:r>
    </w:p>
    <w:p w:rsid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p>
    <w:p w:rsid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p>
    <w:p w:rsid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p>
    <w:p w:rsid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p>
    <w:p w:rsidR="00B23827" w:rsidRDefault="00B23827" w:rsidP="00B23827">
      <w:pPr>
        <w:spacing w:after="0"/>
        <w:ind w:firstLine="709"/>
        <w:jc w:val="both"/>
        <w:rPr>
          <w:rFonts w:ascii="Times New Roman" w:eastAsia="Calibri" w:hAnsi="Times New Roman" w:cs="Times New Roman"/>
          <w:bCs/>
          <w:kern w:val="24"/>
          <w:position w:val="1"/>
          <w:sz w:val="28"/>
          <w:szCs w:val="28"/>
          <w:lang w:val="uk-UA" w:eastAsia="ru-RU"/>
        </w:rPr>
      </w:pPr>
    </w:p>
    <w:p w:rsidR="00B23827" w:rsidRPr="00B23827" w:rsidRDefault="00B23827" w:rsidP="00B23827">
      <w:pPr>
        <w:spacing w:after="0"/>
        <w:ind w:firstLine="709"/>
        <w:jc w:val="both"/>
        <w:rPr>
          <w:rFonts w:ascii="Times New Roman" w:eastAsia="Calibri" w:hAnsi="Times New Roman" w:cs="Times New Roman"/>
          <w:sz w:val="28"/>
          <w:szCs w:val="28"/>
          <w:lang w:val="en-US"/>
        </w:rPr>
      </w:pPr>
    </w:p>
    <w:p w:rsidR="00B23827" w:rsidRPr="00B23827"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lastRenderedPageBreak/>
        <w:t>In 2021, 1206 court staff members improved their skills through 32 distance learning courses, namely</w:t>
      </w:r>
    </w:p>
    <w:p w:rsidR="00B23827" w:rsidRPr="00B23827" w:rsidRDefault="00B23827" w:rsidP="00B23827">
      <w:pPr>
        <w:spacing w:after="0"/>
        <w:jc w:val="both"/>
        <w:rPr>
          <w:rFonts w:ascii="Times New Roman" w:hAnsi="Times New Roman" w:cs="Times New Roman"/>
          <w:sz w:val="28"/>
          <w:szCs w:val="28"/>
          <w:lang w:val="en-US"/>
        </w:rPr>
      </w:pPr>
    </w:p>
    <w:p w:rsidR="00B23827" w:rsidRPr="00B23827"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t>1.</w:t>
      </w:r>
      <w:r w:rsidRPr="00B23827">
        <w:rPr>
          <w:rFonts w:ascii="Times New Roman" w:hAnsi="Times New Roman" w:cs="Times New Roman"/>
          <w:sz w:val="28"/>
          <w:szCs w:val="28"/>
          <w:lang w:val="en-US"/>
        </w:rPr>
        <w:tab/>
        <w:t>‘Time Management in the Work of a Judge's Assistant and Courtroom Clerk’ - 8 courses for judge assistants and courtroom clerks (338 participants).</w:t>
      </w:r>
    </w:p>
    <w:p w:rsidR="00B23827" w:rsidRPr="00B23827"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t>2.</w:t>
      </w:r>
      <w:r w:rsidRPr="00B23827">
        <w:rPr>
          <w:rFonts w:ascii="Times New Roman" w:hAnsi="Times New Roman" w:cs="Times New Roman"/>
          <w:sz w:val="28"/>
          <w:szCs w:val="28"/>
          <w:lang w:val="en-US"/>
        </w:rPr>
        <w:tab/>
        <w:t xml:space="preserve">‘Application of the Convention for the Protection of Human Rights and Fundamental Freedoms and the case law of the European Court of Human Rights. Court Proceedings’ - 4 courses for judge assistants and consultants of general courts (145 students). </w:t>
      </w:r>
    </w:p>
    <w:p w:rsidR="00B23827" w:rsidRPr="00B23827"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t>3.</w:t>
      </w:r>
      <w:r w:rsidRPr="00B23827">
        <w:rPr>
          <w:rFonts w:ascii="Times New Roman" w:hAnsi="Times New Roman" w:cs="Times New Roman"/>
          <w:sz w:val="28"/>
          <w:szCs w:val="28"/>
          <w:lang w:val="en-US"/>
        </w:rPr>
        <w:tab/>
        <w:t>‘Application of the Convention for the Protection of Human Rights and Fundamental Freedoms and the case law of the European Court of Human Rights in civil proceedings’ - 4 courses for judge assistants and counsellors of general courts (195 students).</w:t>
      </w:r>
    </w:p>
    <w:p w:rsidR="00B23827" w:rsidRPr="00B23827"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t>4.</w:t>
      </w:r>
      <w:r w:rsidRPr="00B23827">
        <w:rPr>
          <w:rFonts w:ascii="Times New Roman" w:hAnsi="Times New Roman" w:cs="Times New Roman"/>
          <w:sz w:val="28"/>
          <w:szCs w:val="28"/>
          <w:lang w:val="en-US"/>
        </w:rPr>
        <w:tab/>
        <w:t>‘Application of the Convention for the Protection of Human Rights and Fundamental Freedoms and the case law of the European Court of Human Rights. Pre-trial Investigation’ - 4 courses for judge assistants and consultants of general jurisdiction courts (110 students).</w:t>
      </w:r>
    </w:p>
    <w:p w:rsidR="00B23827" w:rsidRPr="00B23827"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t>5.</w:t>
      </w:r>
      <w:r w:rsidRPr="00B23827">
        <w:rPr>
          <w:rFonts w:ascii="Times New Roman" w:hAnsi="Times New Roman" w:cs="Times New Roman"/>
          <w:sz w:val="28"/>
          <w:szCs w:val="28"/>
          <w:lang w:val="en-US"/>
        </w:rPr>
        <w:tab/>
        <w:t>‘Application of the Convention for the Protection of Human Rights and Fundamental Freedoms and the case law of the European Court of Human Rights’ - 4 courses for judicial assistants and consultants of administrative courts (122 students).</w:t>
      </w:r>
    </w:p>
    <w:p w:rsidR="00B23827" w:rsidRPr="00B23827"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t>6.</w:t>
      </w:r>
      <w:r w:rsidRPr="00B23827">
        <w:rPr>
          <w:rFonts w:ascii="Times New Roman" w:hAnsi="Times New Roman" w:cs="Times New Roman"/>
          <w:sz w:val="28"/>
          <w:szCs w:val="28"/>
          <w:lang w:val="en-US"/>
        </w:rPr>
        <w:tab/>
        <w:t>‘Peculiarities of Corporate Dispute Resolution’ - 3 courses for assistants and court reporters of commercial courts (35 students).</w:t>
      </w:r>
    </w:p>
    <w:p w:rsidR="00B23827" w:rsidRPr="00B23827"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t>7.</w:t>
      </w:r>
      <w:r w:rsidRPr="00B23827">
        <w:rPr>
          <w:rFonts w:ascii="Times New Roman" w:hAnsi="Times New Roman" w:cs="Times New Roman"/>
          <w:sz w:val="28"/>
          <w:szCs w:val="28"/>
          <w:lang w:val="en-US"/>
        </w:rPr>
        <w:tab/>
        <w:t>‘Communications in Judicial Activities’ - 1 course for press secretaries and court staff responsible for media relations (13 students).</w:t>
      </w:r>
    </w:p>
    <w:p w:rsidR="00B23827" w:rsidRPr="00B23827"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t>8.</w:t>
      </w:r>
      <w:r w:rsidRPr="00B23827">
        <w:rPr>
          <w:rFonts w:ascii="Times New Roman" w:hAnsi="Times New Roman" w:cs="Times New Roman"/>
          <w:sz w:val="28"/>
          <w:szCs w:val="28"/>
          <w:lang w:val="en-US"/>
        </w:rPr>
        <w:tab/>
        <w:t xml:space="preserve">‘Peculiarities of consideration of </w:t>
      </w:r>
      <w:proofErr w:type="gramStart"/>
      <w:r w:rsidRPr="00B23827">
        <w:rPr>
          <w:rFonts w:ascii="Times New Roman" w:hAnsi="Times New Roman" w:cs="Times New Roman"/>
          <w:sz w:val="28"/>
          <w:szCs w:val="28"/>
          <w:lang w:val="en-US"/>
        </w:rPr>
        <w:t>citizens‘ appeals</w:t>
      </w:r>
      <w:proofErr w:type="gramEnd"/>
      <w:r w:rsidRPr="00B23827">
        <w:rPr>
          <w:rFonts w:ascii="Times New Roman" w:hAnsi="Times New Roman" w:cs="Times New Roman"/>
          <w:sz w:val="28"/>
          <w:szCs w:val="28"/>
          <w:lang w:val="en-US"/>
        </w:rPr>
        <w:t xml:space="preserve"> and access to public information in courts’ - 2 courses for court staff (223 students).</w:t>
      </w:r>
    </w:p>
    <w:p w:rsidR="00B23827" w:rsidRPr="00B23827"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t>9.</w:t>
      </w:r>
      <w:r w:rsidRPr="00B23827">
        <w:rPr>
          <w:rFonts w:ascii="Times New Roman" w:hAnsi="Times New Roman" w:cs="Times New Roman"/>
          <w:sz w:val="28"/>
          <w:szCs w:val="28"/>
          <w:lang w:val="en-US"/>
        </w:rPr>
        <w:tab/>
        <w:t>‘The Language of Judicial Procedure’ - 1 course for court staff (14 students).</w:t>
      </w:r>
    </w:p>
    <w:p w:rsidR="00C26926" w:rsidRDefault="00B23827" w:rsidP="00B23827">
      <w:pPr>
        <w:spacing w:after="0"/>
        <w:jc w:val="both"/>
        <w:rPr>
          <w:rFonts w:ascii="Times New Roman" w:hAnsi="Times New Roman" w:cs="Times New Roman"/>
          <w:sz w:val="28"/>
          <w:szCs w:val="28"/>
          <w:lang w:val="en-US"/>
        </w:rPr>
      </w:pPr>
      <w:r w:rsidRPr="00B23827">
        <w:rPr>
          <w:rFonts w:ascii="Times New Roman" w:hAnsi="Times New Roman" w:cs="Times New Roman"/>
          <w:sz w:val="28"/>
          <w:szCs w:val="28"/>
          <w:lang w:val="en-US"/>
        </w:rPr>
        <w:t>10.</w:t>
      </w:r>
      <w:r w:rsidRPr="00B23827">
        <w:rPr>
          <w:rFonts w:ascii="Times New Roman" w:hAnsi="Times New Roman" w:cs="Times New Roman"/>
          <w:sz w:val="28"/>
          <w:szCs w:val="28"/>
          <w:lang w:val="en-US"/>
        </w:rPr>
        <w:tab/>
        <w:t>‘Ensuring Gender Equality’ - 1 course for court staff (11 participants).</w:t>
      </w:r>
    </w:p>
    <w:p w:rsidR="00B23827" w:rsidRPr="00B23827" w:rsidRDefault="00B23827" w:rsidP="00B23827">
      <w:pPr>
        <w:spacing w:after="0"/>
        <w:jc w:val="both"/>
        <w:rPr>
          <w:rFonts w:ascii="Times New Roman" w:hAnsi="Times New Roman" w:cs="Times New Roman"/>
          <w:sz w:val="28"/>
          <w:szCs w:val="28"/>
          <w:lang w:val="en-US"/>
        </w:rPr>
      </w:pPr>
    </w:p>
    <w:p w:rsidR="00DC3000" w:rsidRPr="00DC3000" w:rsidRDefault="00DC3000" w:rsidP="00DC3000">
      <w:pPr>
        <w:overflowPunct w:val="0"/>
        <w:autoSpaceDE w:val="0"/>
        <w:autoSpaceDN w:val="0"/>
        <w:adjustRightInd w:val="0"/>
        <w:spacing w:after="0"/>
        <w:ind w:firstLine="708"/>
        <w:jc w:val="both"/>
        <w:rPr>
          <w:rFonts w:ascii="Times New Roman" w:hAnsi="Times New Roman" w:cs="Times New Roman"/>
          <w:bCs/>
          <w:sz w:val="28"/>
          <w:szCs w:val="28"/>
          <w:lang w:val="en-US"/>
        </w:rPr>
      </w:pPr>
      <w:r w:rsidRPr="00DC3000">
        <w:rPr>
          <w:rFonts w:ascii="Times New Roman" w:hAnsi="Times New Roman" w:cs="Times New Roman"/>
          <w:bCs/>
          <w:sz w:val="28"/>
          <w:szCs w:val="28"/>
          <w:lang w:val="en-US"/>
        </w:rPr>
        <w:t>In the reporting period, 546 trainers were involved in training court staff, including 212 judges, 47 SJAU employees (SJAU TU), 75 NSJU employees, and 212 other specialists (including doctors and PhDs).</w:t>
      </w:r>
    </w:p>
    <w:p w:rsidR="00DC3000" w:rsidRPr="00DC3000" w:rsidRDefault="00DC3000" w:rsidP="00DC3000">
      <w:pPr>
        <w:overflowPunct w:val="0"/>
        <w:autoSpaceDE w:val="0"/>
        <w:autoSpaceDN w:val="0"/>
        <w:adjustRightInd w:val="0"/>
        <w:spacing w:after="0"/>
        <w:ind w:firstLine="708"/>
        <w:jc w:val="both"/>
        <w:rPr>
          <w:rFonts w:ascii="Times New Roman" w:hAnsi="Times New Roman" w:cs="Times New Roman"/>
          <w:bCs/>
          <w:sz w:val="28"/>
          <w:szCs w:val="28"/>
          <w:lang w:val="en-US"/>
        </w:rPr>
      </w:pPr>
      <w:r w:rsidRPr="00DC3000">
        <w:rPr>
          <w:rFonts w:ascii="Times New Roman" w:hAnsi="Times New Roman" w:cs="Times New Roman"/>
          <w:bCs/>
          <w:sz w:val="28"/>
          <w:szCs w:val="28"/>
          <w:lang w:val="en-US"/>
        </w:rPr>
        <w:t xml:space="preserve">In total, during the reporting period, 18,536 court staff members were trained and upgraded their professional skills, including 5,366 at the central office in Kyiv, and 1,170 at five regional offices and the Vinnytsia Training Centre. </w:t>
      </w:r>
    </w:p>
    <w:p w:rsidR="00DC3000" w:rsidRPr="00DC3000" w:rsidRDefault="00DC3000" w:rsidP="00DC3000">
      <w:pPr>
        <w:overflowPunct w:val="0"/>
        <w:autoSpaceDE w:val="0"/>
        <w:autoSpaceDN w:val="0"/>
        <w:adjustRightInd w:val="0"/>
        <w:spacing w:after="0"/>
        <w:ind w:firstLine="708"/>
        <w:jc w:val="both"/>
        <w:rPr>
          <w:rFonts w:ascii="Times New Roman" w:hAnsi="Times New Roman" w:cs="Times New Roman"/>
          <w:bCs/>
          <w:sz w:val="28"/>
          <w:szCs w:val="28"/>
          <w:lang w:val="en-US"/>
        </w:rPr>
      </w:pPr>
      <w:r w:rsidRPr="00DC3000">
        <w:rPr>
          <w:rFonts w:ascii="Times New Roman" w:hAnsi="Times New Roman" w:cs="Times New Roman"/>
          <w:bCs/>
          <w:sz w:val="28"/>
          <w:szCs w:val="28"/>
          <w:lang w:val="en-US"/>
        </w:rPr>
        <w:tab/>
        <w:t>The State Budget of Ukraine funded training of 18478 persons or 99.7%, and 58 persons or 0.3% were trained at the expense of international and non-governmental organisations, respectively.</w:t>
      </w:r>
    </w:p>
    <w:p w:rsidR="00DC3000" w:rsidRPr="00DC3000" w:rsidRDefault="00DC3000" w:rsidP="00DC3000">
      <w:pPr>
        <w:overflowPunct w:val="0"/>
        <w:autoSpaceDE w:val="0"/>
        <w:autoSpaceDN w:val="0"/>
        <w:adjustRightInd w:val="0"/>
        <w:spacing w:after="0"/>
        <w:ind w:firstLine="708"/>
        <w:jc w:val="both"/>
        <w:rPr>
          <w:rFonts w:ascii="Times New Roman" w:hAnsi="Times New Roman" w:cs="Times New Roman"/>
          <w:bCs/>
          <w:sz w:val="28"/>
          <w:szCs w:val="28"/>
          <w:lang w:val="en-US" w:eastAsia="ru-RU"/>
        </w:rPr>
      </w:pPr>
      <w:r w:rsidRPr="00DC3000">
        <w:rPr>
          <w:rFonts w:ascii="Times New Roman" w:hAnsi="Times New Roman" w:cs="Times New Roman"/>
          <w:bCs/>
          <w:sz w:val="28"/>
          <w:szCs w:val="28"/>
          <w:lang w:val="en-US"/>
        </w:rPr>
        <w:t>The status of training of court staff during the reporting period is characterised by the statistical data presented in the diagrams below.</w:t>
      </w:r>
    </w:p>
    <w:p w:rsidR="00826421" w:rsidRPr="00DC3000" w:rsidRDefault="00826421" w:rsidP="00C26926">
      <w:pPr>
        <w:overflowPunct w:val="0"/>
        <w:autoSpaceDE w:val="0"/>
        <w:autoSpaceDN w:val="0"/>
        <w:adjustRightInd w:val="0"/>
        <w:spacing w:after="0"/>
        <w:ind w:firstLine="708"/>
        <w:jc w:val="both"/>
        <w:rPr>
          <w:rFonts w:ascii="Times New Roman" w:hAnsi="Times New Roman" w:cs="Times New Roman"/>
          <w:sz w:val="28"/>
          <w:szCs w:val="28"/>
          <w:lang w:val="en-US" w:eastAsia="ru-RU"/>
        </w:rPr>
      </w:pPr>
      <w:r w:rsidRPr="006E35A7">
        <w:rPr>
          <w:noProof/>
          <w:lang w:val="uk-UA" w:eastAsia="uk-UA"/>
        </w:rPr>
        <w:lastRenderedPageBreak/>
        <w:drawing>
          <wp:anchor distT="0" distB="0" distL="114300" distR="114300" simplePos="0" relativeHeight="251659264" behindDoc="0" locked="0" layoutInCell="1" allowOverlap="1" wp14:anchorId="523E59FA" wp14:editId="3D0EB745">
            <wp:simplePos x="0" y="0"/>
            <wp:positionH relativeFrom="column">
              <wp:posOffset>76200</wp:posOffset>
            </wp:positionH>
            <wp:positionV relativeFrom="paragraph">
              <wp:posOffset>389890</wp:posOffset>
            </wp:positionV>
            <wp:extent cx="6251575" cy="5515610"/>
            <wp:effectExtent l="95250" t="57150" r="92075" b="104140"/>
            <wp:wrapSquare wrapText="bothSides"/>
            <wp:docPr id="46"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p>
    <w:p w:rsidR="00826421" w:rsidRPr="00B23827" w:rsidRDefault="00826421" w:rsidP="00C26926">
      <w:pPr>
        <w:overflowPunct w:val="0"/>
        <w:autoSpaceDE w:val="0"/>
        <w:autoSpaceDN w:val="0"/>
        <w:adjustRightInd w:val="0"/>
        <w:spacing w:after="0"/>
        <w:ind w:firstLine="708"/>
        <w:jc w:val="both"/>
        <w:rPr>
          <w:rFonts w:ascii="Times New Roman" w:hAnsi="Times New Roman" w:cs="Times New Roman"/>
          <w:sz w:val="28"/>
          <w:szCs w:val="28"/>
          <w:lang w:val="en-US" w:eastAsia="ru-RU"/>
        </w:rPr>
      </w:pPr>
    </w:p>
    <w:p w:rsidR="005375BE" w:rsidRPr="00B23827" w:rsidRDefault="00C26926" w:rsidP="00826421">
      <w:pPr>
        <w:tabs>
          <w:tab w:val="left" w:pos="0"/>
        </w:tabs>
        <w:spacing w:after="0"/>
        <w:ind w:right="-1"/>
        <w:rPr>
          <w:rFonts w:ascii="Times New Roman" w:hAnsi="Times New Roman" w:cs="Times New Roman"/>
          <w:b/>
          <w:bCs/>
          <w:sz w:val="28"/>
          <w:szCs w:val="28"/>
          <w:lang w:val="en-US"/>
        </w:rPr>
      </w:pPr>
      <w:r w:rsidRPr="00B23827">
        <w:rPr>
          <w:rFonts w:ascii="Times New Roman" w:hAnsi="Times New Roman" w:cs="Times New Roman"/>
          <w:b/>
          <w:bCs/>
          <w:sz w:val="28"/>
          <w:szCs w:val="28"/>
          <w:lang w:val="en-US"/>
        </w:rPr>
        <w:tab/>
      </w: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5375BE" w:rsidRPr="00B23827" w:rsidRDefault="005375BE" w:rsidP="00826421">
      <w:pPr>
        <w:tabs>
          <w:tab w:val="left" w:pos="0"/>
        </w:tabs>
        <w:spacing w:after="0"/>
        <w:ind w:right="-1"/>
        <w:rPr>
          <w:rFonts w:ascii="Times New Roman" w:hAnsi="Times New Roman" w:cs="Times New Roman"/>
          <w:b/>
          <w:bCs/>
          <w:sz w:val="28"/>
          <w:szCs w:val="28"/>
          <w:lang w:val="en-US"/>
        </w:rPr>
      </w:pPr>
    </w:p>
    <w:p w:rsidR="00DC3000" w:rsidRPr="00DC3000" w:rsidRDefault="00DC3000" w:rsidP="00DC3000">
      <w:pPr>
        <w:spacing w:after="0"/>
        <w:jc w:val="center"/>
        <w:rPr>
          <w:rFonts w:ascii="Times New Roman" w:hAnsi="Times New Roman" w:cs="Times New Roman"/>
          <w:b/>
          <w:bCs/>
          <w:sz w:val="28"/>
          <w:szCs w:val="28"/>
          <w:lang w:val="en-US"/>
        </w:rPr>
      </w:pPr>
      <w:r w:rsidRPr="00DC3000">
        <w:rPr>
          <w:rFonts w:ascii="Times New Roman" w:hAnsi="Times New Roman" w:cs="Times New Roman"/>
          <w:b/>
          <w:bCs/>
          <w:sz w:val="28"/>
          <w:szCs w:val="28"/>
          <w:lang w:val="en-US"/>
        </w:rPr>
        <w:lastRenderedPageBreak/>
        <w:t>Funding for training of court staff</w:t>
      </w:r>
    </w:p>
    <w:p w:rsidR="00603B1A" w:rsidRDefault="00DC3000" w:rsidP="00DC3000">
      <w:pPr>
        <w:spacing w:after="0"/>
        <w:jc w:val="center"/>
        <w:rPr>
          <w:rFonts w:ascii="Times New Roman" w:hAnsi="Times New Roman" w:cs="Times New Roman"/>
          <w:b/>
          <w:bCs/>
          <w:sz w:val="28"/>
          <w:szCs w:val="28"/>
        </w:rPr>
      </w:pPr>
      <w:r w:rsidRPr="00DC3000">
        <w:rPr>
          <w:rFonts w:ascii="Times New Roman" w:hAnsi="Times New Roman" w:cs="Times New Roman"/>
          <w:b/>
          <w:bCs/>
          <w:sz w:val="28"/>
          <w:szCs w:val="28"/>
        </w:rPr>
        <w:t>in 2019-2021</w:t>
      </w:r>
    </w:p>
    <w:p w:rsidR="00DC3000" w:rsidRPr="006E35A7" w:rsidRDefault="00DC3000" w:rsidP="00DC3000">
      <w:pPr>
        <w:spacing w:after="0"/>
        <w:jc w:val="center"/>
        <w:rPr>
          <w:rFonts w:ascii="Times New Roman" w:hAnsi="Times New Roman" w:cs="Times New Roman"/>
          <w:b/>
          <w:bCs/>
          <w:sz w:val="28"/>
          <w:szCs w:val="28"/>
        </w:rPr>
      </w:pPr>
    </w:p>
    <w:p w:rsidR="00B40EA1" w:rsidRDefault="00B40EA1" w:rsidP="00C26926">
      <w:pPr>
        <w:spacing w:after="0"/>
        <w:jc w:val="center"/>
        <w:rPr>
          <w:rFonts w:ascii="Times New Roman" w:hAnsi="Times New Roman" w:cs="Times New Roman"/>
          <w:b/>
          <w:bCs/>
          <w:sz w:val="28"/>
          <w:szCs w:val="28"/>
        </w:rPr>
      </w:pPr>
      <w:r w:rsidRPr="006E35A7">
        <w:rPr>
          <w:rFonts w:ascii="Times New Roman" w:hAnsi="Times New Roman" w:cs="Times New Roman"/>
          <w:b/>
          <w:bCs/>
          <w:noProof/>
          <w:sz w:val="28"/>
          <w:szCs w:val="28"/>
          <w:lang w:val="uk-UA" w:eastAsia="uk-UA"/>
        </w:rPr>
        <w:drawing>
          <wp:inline distT="0" distB="0" distL="0" distR="0" wp14:anchorId="0E880F99" wp14:editId="14CB27EB">
            <wp:extent cx="6120130" cy="6415549"/>
            <wp:effectExtent l="0" t="0" r="0" b="0"/>
            <wp:docPr id="48"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40EA1" w:rsidRDefault="00B40EA1" w:rsidP="00C26926">
      <w:pPr>
        <w:spacing w:after="0"/>
        <w:jc w:val="center"/>
        <w:rPr>
          <w:rFonts w:ascii="Times New Roman" w:hAnsi="Times New Roman" w:cs="Times New Roman"/>
          <w:b/>
          <w:bCs/>
          <w:sz w:val="28"/>
          <w:szCs w:val="28"/>
        </w:rPr>
      </w:pPr>
    </w:p>
    <w:p w:rsidR="00B40EA1" w:rsidRDefault="00B40EA1" w:rsidP="00C26926">
      <w:pPr>
        <w:spacing w:after="0"/>
        <w:jc w:val="center"/>
        <w:rPr>
          <w:rFonts w:ascii="Times New Roman" w:hAnsi="Times New Roman" w:cs="Times New Roman"/>
          <w:b/>
          <w:bCs/>
          <w:sz w:val="28"/>
          <w:szCs w:val="28"/>
        </w:rPr>
      </w:pPr>
    </w:p>
    <w:p w:rsidR="00B40EA1" w:rsidRDefault="00B40EA1" w:rsidP="00C26926">
      <w:pPr>
        <w:spacing w:after="0"/>
        <w:jc w:val="center"/>
        <w:rPr>
          <w:rFonts w:ascii="Times New Roman" w:hAnsi="Times New Roman" w:cs="Times New Roman"/>
          <w:b/>
          <w:bCs/>
          <w:sz w:val="28"/>
          <w:szCs w:val="28"/>
        </w:rPr>
      </w:pPr>
    </w:p>
    <w:p w:rsidR="00B40EA1" w:rsidRDefault="00B40EA1" w:rsidP="00C26926">
      <w:pPr>
        <w:spacing w:after="0"/>
        <w:jc w:val="center"/>
        <w:rPr>
          <w:rFonts w:ascii="Times New Roman" w:hAnsi="Times New Roman" w:cs="Times New Roman"/>
          <w:b/>
          <w:bCs/>
          <w:sz w:val="28"/>
          <w:szCs w:val="28"/>
        </w:rPr>
      </w:pPr>
    </w:p>
    <w:p w:rsidR="00B40EA1" w:rsidRDefault="00B40EA1" w:rsidP="00C26926">
      <w:pPr>
        <w:spacing w:after="0"/>
        <w:jc w:val="center"/>
        <w:rPr>
          <w:rFonts w:ascii="Times New Roman" w:hAnsi="Times New Roman" w:cs="Times New Roman"/>
          <w:b/>
          <w:bCs/>
          <w:sz w:val="28"/>
          <w:szCs w:val="28"/>
        </w:rPr>
      </w:pPr>
    </w:p>
    <w:p w:rsidR="00B40EA1" w:rsidRDefault="00B40EA1" w:rsidP="00C26926">
      <w:pPr>
        <w:spacing w:after="0"/>
        <w:jc w:val="center"/>
        <w:rPr>
          <w:rFonts w:ascii="Times New Roman" w:hAnsi="Times New Roman" w:cs="Times New Roman"/>
          <w:b/>
          <w:bCs/>
          <w:sz w:val="28"/>
          <w:szCs w:val="28"/>
        </w:rPr>
      </w:pPr>
    </w:p>
    <w:p w:rsidR="00B40EA1" w:rsidRDefault="00B40EA1" w:rsidP="00C26926">
      <w:pPr>
        <w:spacing w:after="0"/>
        <w:jc w:val="center"/>
        <w:rPr>
          <w:rFonts w:ascii="Times New Roman" w:hAnsi="Times New Roman" w:cs="Times New Roman"/>
          <w:b/>
          <w:bCs/>
          <w:sz w:val="28"/>
          <w:szCs w:val="28"/>
        </w:rPr>
      </w:pPr>
    </w:p>
    <w:p w:rsidR="00B40EA1" w:rsidRDefault="00B40EA1" w:rsidP="00C26926">
      <w:pPr>
        <w:spacing w:after="0"/>
        <w:jc w:val="center"/>
        <w:rPr>
          <w:rFonts w:ascii="Times New Roman" w:hAnsi="Times New Roman" w:cs="Times New Roman"/>
          <w:b/>
          <w:bCs/>
          <w:sz w:val="28"/>
          <w:szCs w:val="28"/>
        </w:rPr>
      </w:pPr>
    </w:p>
    <w:p w:rsidR="00B40EA1" w:rsidRDefault="00B40EA1" w:rsidP="00C26926">
      <w:pPr>
        <w:spacing w:after="0"/>
        <w:jc w:val="center"/>
        <w:rPr>
          <w:rFonts w:ascii="Times New Roman" w:hAnsi="Times New Roman" w:cs="Times New Roman"/>
          <w:b/>
          <w:bCs/>
          <w:sz w:val="28"/>
          <w:szCs w:val="28"/>
        </w:rPr>
      </w:pPr>
    </w:p>
    <w:p w:rsidR="00DC3000" w:rsidRPr="009B4CC0" w:rsidRDefault="00DC3000" w:rsidP="00DC3000">
      <w:pPr>
        <w:spacing w:after="0"/>
        <w:jc w:val="center"/>
        <w:rPr>
          <w:rFonts w:ascii="Times New Roman" w:hAnsi="Times New Roman" w:cs="Times New Roman"/>
          <w:b/>
          <w:bCs/>
          <w:sz w:val="28"/>
          <w:szCs w:val="28"/>
          <w:lang w:val="en-US"/>
        </w:rPr>
      </w:pPr>
      <w:r w:rsidRPr="009B4CC0">
        <w:rPr>
          <w:rFonts w:ascii="Times New Roman" w:hAnsi="Times New Roman" w:cs="Times New Roman"/>
          <w:b/>
          <w:bCs/>
          <w:sz w:val="28"/>
          <w:szCs w:val="28"/>
          <w:lang w:val="en-US"/>
        </w:rPr>
        <w:lastRenderedPageBreak/>
        <w:t>Training of court staff</w:t>
      </w:r>
    </w:p>
    <w:p w:rsidR="00C26926" w:rsidRDefault="00DC3000" w:rsidP="00DC3000">
      <w:pPr>
        <w:spacing w:after="0"/>
        <w:jc w:val="center"/>
        <w:rPr>
          <w:rFonts w:ascii="Times New Roman" w:hAnsi="Times New Roman" w:cs="Times New Roman"/>
          <w:b/>
          <w:bCs/>
          <w:sz w:val="28"/>
          <w:szCs w:val="28"/>
          <w:lang w:val="en-US"/>
        </w:rPr>
      </w:pPr>
      <w:r w:rsidRPr="00DC3000">
        <w:rPr>
          <w:rFonts w:ascii="Times New Roman" w:hAnsi="Times New Roman" w:cs="Times New Roman"/>
          <w:b/>
          <w:bCs/>
          <w:sz w:val="28"/>
          <w:szCs w:val="28"/>
          <w:lang w:val="en-US"/>
        </w:rPr>
        <w:t>by instances and specialisations in 2021</w:t>
      </w:r>
    </w:p>
    <w:p w:rsidR="00DC3000" w:rsidRPr="00DC3000" w:rsidRDefault="00DC3000" w:rsidP="00DC3000">
      <w:pPr>
        <w:spacing w:after="0"/>
        <w:jc w:val="center"/>
        <w:rPr>
          <w:rFonts w:ascii="Times New Roman" w:hAnsi="Times New Roman" w:cs="Times New Roman"/>
          <w:b/>
          <w:bCs/>
          <w:sz w:val="28"/>
          <w:szCs w:val="28"/>
          <w:lang w:val="en-US"/>
        </w:rPr>
      </w:pPr>
    </w:p>
    <w:p w:rsidR="00C26926" w:rsidRPr="006E35A7" w:rsidRDefault="00C26926" w:rsidP="00C26926">
      <w:pPr>
        <w:spacing w:after="0"/>
        <w:jc w:val="center"/>
        <w:rPr>
          <w:rFonts w:ascii="Times New Roman" w:hAnsi="Times New Roman" w:cs="Times New Roman"/>
          <w:b/>
          <w:bCs/>
          <w:sz w:val="28"/>
          <w:szCs w:val="28"/>
        </w:rPr>
      </w:pPr>
      <w:r w:rsidRPr="006E35A7">
        <w:rPr>
          <w:noProof/>
          <w:lang w:val="uk-UA" w:eastAsia="uk-UA"/>
        </w:rPr>
        <w:drawing>
          <wp:inline distT="0" distB="0" distL="0" distR="0" wp14:anchorId="1D50D9A1" wp14:editId="41B9A9CA">
            <wp:extent cx="6374130" cy="6858000"/>
            <wp:effectExtent l="0" t="0" r="0" b="0"/>
            <wp:docPr id="49"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C26926" w:rsidRPr="006E35A7" w:rsidRDefault="00C26926" w:rsidP="00C26926">
      <w:pPr>
        <w:spacing w:after="0"/>
        <w:jc w:val="center"/>
        <w:rPr>
          <w:rFonts w:ascii="Times New Roman" w:hAnsi="Times New Roman" w:cs="Times New Roman"/>
          <w:b/>
          <w:bCs/>
          <w:sz w:val="28"/>
          <w:szCs w:val="28"/>
        </w:rPr>
      </w:pPr>
    </w:p>
    <w:p w:rsidR="00C26926" w:rsidRPr="006E35A7" w:rsidRDefault="00C26926" w:rsidP="00C26926">
      <w:pPr>
        <w:spacing w:after="0"/>
        <w:jc w:val="center"/>
        <w:rPr>
          <w:rFonts w:ascii="Times New Roman" w:hAnsi="Times New Roman" w:cs="Times New Roman"/>
          <w:b/>
          <w:bCs/>
          <w:sz w:val="28"/>
          <w:szCs w:val="28"/>
        </w:rPr>
      </w:pPr>
    </w:p>
    <w:p w:rsidR="00C26926" w:rsidRPr="006E35A7" w:rsidRDefault="00C26926" w:rsidP="00C26926">
      <w:pPr>
        <w:spacing w:after="0"/>
        <w:jc w:val="both"/>
        <w:rPr>
          <w:rFonts w:ascii="Times New Roman" w:hAnsi="Times New Roman" w:cs="Times New Roman"/>
          <w:sz w:val="28"/>
          <w:szCs w:val="28"/>
        </w:rPr>
      </w:pPr>
      <w:r w:rsidRPr="006E35A7">
        <w:rPr>
          <w:rFonts w:ascii="Times New Roman" w:hAnsi="Times New Roman" w:cs="Times New Roman"/>
          <w:noProof/>
          <w:sz w:val="28"/>
          <w:szCs w:val="28"/>
          <w:lang w:val="uk-UA" w:eastAsia="uk-UA"/>
        </w:rPr>
        <w:lastRenderedPageBreak/>
        <w:drawing>
          <wp:anchor distT="0" distB="0" distL="114300" distR="114300" simplePos="0" relativeHeight="251724800" behindDoc="0" locked="0" layoutInCell="1" allowOverlap="1" wp14:anchorId="0AB37BFC" wp14:editId="22A81E9B">
            <wp:simplePos x="723900" y="962025"/>
            <wp:positionH relativeFrom="column">
              <wp:align>left</wp:align>
            </wp:positionH>
            <wp:positionV relativeFrom="paragraph">
              <wp:align>top</wp:align>
            </wp:positionV>
            <wp:extent cx="6377281" cy="3613211"/>
            <wp:effectExtent l="0" t="0" r="5080" b="6350"/>
            <wp:wrapSquare wrapText="bothSides"/>
            <wp:docPr id="50"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anchor>
        </w:drawing>
      </w:r>
    </w:p>
    <w:p w:rsidR="00C26926" w:rsidRDefault="00C26926" w:rsidP="00C26926">
      <w:pPr>
        <w:spacing w:after="0"/>
        <w:ind w:firstLine="709"/>
        <w:jc w:val="both"/>
        <w:rPr>
          <w:rFonts w:ascii="Times New Roman" w:hAnsi="Times New Roman" w:cs="Times New Roman"/>
          <w:b/>
          <w:sz w:val="28"/>
          <w:szCs w:val="28"/>
        </w:rPr>
      </w:pP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The National School of Judges has prepared the following courses and trainings for testing and implementation in the training of court staff:</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‘Court Operations in Emergency Situations’ - in-person training for judge assistants and court reporters;</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‘Court in Social Media’ - in-person training for court staff;</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‘News as an Effective Means of Judicial Communication’ - in-person and distance learning course for press secretaries and public relations officers of local and appellate courts;</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‘Communication as a Means of Increasing Trust in the Justice System’ - training for press secretaries and court staff responsible for public relations.</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 xml:space="preserve">‘The Role of a Judge's Assistant in Ensuring the Professional Activity of a Judge’ - a workshop for judge assistants. </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‘The Language of Judicial Procedure’ - an e-learning course for court staff.</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‘Ensuring Gender Equality’ - a distance course for court staff.</w:t>
      </w:r>
    </w:p>
    <w:p w:rsidR="00DC3000" w:rsidRPr="009B4CC0" w:rsidRDefault="00DC3000" w:rsidP="00DC3000">
      <w:pPr>
        <w:spacing w:after="0"/>
        <w:ind w:firstLine="708"/>
        <w:jc w:val="both"/>
        <w:rPr>
          <w:rFonts w:ascii="Times New Roman" w:hAnsi="Times New Roman" w:cs="Times New Roman"/>
          <w:sz w:val="28"/>
          <w:szCs w:val="28"/>
          <w:lang w:val="en-US"/>
        </w:rPr>
      </w:pPr>
      <w:r w:rsidRPr="009B4CC0">
        <w:rPr>
          <w:rFonts w:ascii="Times New Roman" w:hAnsi="Times New Roman" w:cs="Times New Roman"/>
          <w:sz w:val="28"/>
          <w:szCs w:val="28"/>
          <w:lang w:val="en-US"/>
        </w:rPr>
        <w:t>The implementation and functioning of the Unified Judicial Information and Telecommunication System (UJITS), the organisation of military registration and mobilisation training in the judiciary remain topical issues.</w:t>
      </w:r>
    </w:p>
    <w:p w:rsidR="00DC3000" w:rsidRPr="009B4CC0" w:rsidRDefault="00DC3000" w:rsidP="00DC3000">
      <w:pPr>
        <w:spacing w:after="0"/>
        <w:ind w:firstLine="708"/>
        <w:jc w:val="both"/>
        <w:rPr>
          <w:rFonts w:ascii="Times New Roman" w:hAnsi="Times New Roman" w:cs="Times New Roman"/>
          <w:sz w:val="28"/>
          <w:szCs w:val="28"/>
          <w:lang w:val="en-US"/>
        </w:rPr>
      </w:pPr>
    </w:p>
    <w:p w:rsidR="00DC3000" w:rsidRPr="009B4CC0" w:rsidRDefault="00DC3000" w:rsidP="00DC3000">
      <w:pPr>
        <w:spacing w:after="0"/>
        <w:ind w:firstLine="708"/>
        <w:jc w:val="both"/>
        <w:rPr>
          <w:rFonts w:ascii="Times New Roman" w:hAnsi="Times New Roman" w:cs="Times New Roman"/>
          <w:b/>
          <w:sz w:val="28"/>
          <w:szCs w:val="28"/>
          <w:lang w:val="en-US"/>
        </w:rPr>
      </w:pPr>
    </w:p>
    <w:p w:rsidR="00DC3000" w:rsidRPr="009B4CC0" w:rsidRDefault="00DC3000" w:rsidP="00DC3000">
      <w:pPr>
        <w:spacing w:after="0"/>
        <w:ind w:firstLine="708"/>
        <w:jc w:val="both"/>
        <w:rPr>
          <w:rFonts w:ascii="Times New Roman" w:hAnsi="Times New Roman" w:cs="Times New Roman"/>
          <w:b/>
          <w:sz w:val="28"/>
          <w:szCs w:val="28"/>
          <w:lang w:val="en-US"/>
        </w:rPr>
      </w:pPr>
    </w:p>
    <w:p w:rsidR="00DC3000" w:rsidRPr="009B4CC0" w:rsidRDefault="00DC3000" w:rsidP="00DC3000">
      <w:pPr>
        <w:spacing w:after="0"/>
        <w:ind w:firstLine="708"/>
        <w:jc w:val="both"/>
        <w:rPr>
          <w:rFonts w:ascii="Times New Roman" w:hAnsi="Times New Roman" w:cs="Times New Roman"/>
          <w:b/>
          <w:sz w:val="28"/>
          <w:szCs w:val="28"/>
          <w:lang w:val="en-US"/>
        </w:rPr>
      </w:pPr>
    </w:p>
    <w:p w:rsidR="00DC3000" w:rsidRPr="009B4CC0" w:rsidRDefault="00DC3000" w:rsidP="00DC3000">
      <w:pPr>
        <w:spacing w:after="0"/>
        <w:ind w:firstLine="708"/>
        <w:jc w:val="both"/>
        <w:rPr>
          <w:rFonts w:ascii="Times New Roman" w:hAnsi="Times New Roman" w:cs="Times New Roman"/>
          <w:b/>
          <w:sz w:val="28"/>
          <w:szCs w:val="28"/>
          <w:lang w:val="en-US"/>
        </w:rPr>
      </w:pP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lastRenderedPageBreak/>
        <w:t xml:space="preserve">Pursuant to the Order of the Cabinet of Ministers of Ukraine No. 435-r dated 12.05.2021 on the main directions of development of the system for preventing and combating the legalisation (laundering) of proceeds from crime, terrorist financing and financing the proliferation of weapons of mass destruction, there is a need to introduce training on this topic for judge assistants. </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 xml:space="preserve">The National School of Judges is developing a concept for maintaining and improving the qualifications of judge assistants and court reporters, determining the scope, content of materials, duration of classes, and introduction of additional disciplines, analysing proposals for updating course materials for court staff in order to update topics in standardised programmes, and implementing and updating the topics of training activities necessary for training and improving the qualifications of court staff to ensure quality training of court staff. </w:t>
      </w:r>
    </w:p>
    <w:p w:rsidR="00DC3000" w:rsidRPr="00DC3000" w:rsidRDefault="00DC3000" w:rsidP="00DC3000">
      <w:pPr>
        <w:spacing w:after="0"/>
        <w:ind w:firstLine="708"/>
        <w:jc w:val="both"/>
        <w:rPr>
          <w:rFonts w:ascii="Times New Roman" w:hAnsi="Times New Roman" w:cs="Times New Roman"/>
          <w:sz w:val="28"/>
          <w:szCs w:val="28"/>
          <w:lang w:val="en-US"/>
        </w:rPr>
      </w:pP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III. SPECIAL TRAINING OF JUDICIAL CANDIDATES</w:t>
      </w:r>
    </w:p>
    <w:p w:rsidR="00DC3000" w:rsidRPr="00DC3000" w:rsidRDefault="00DC3000" w:rsidP="00DC3000">
      <w:pPr>
        <w:spacing w:after="0"/>
        <w:ind w:firstLine="708"/>
        <w:jc w:val="both"/>
        <w:rPr>
          <w:rFonts w:ascii="Times New Roman" w:hAnsi="Times New Roman" w:cs="Times New Roman"/>
          <w:sz w:val="28"/>
          <w:szCs w:val="28"/>
          <w:lang w:val="en-US"/>
        </w:rPr>
      </w:pP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One of the strategic directions of judicial education development is to reform the special training of judicial candidates. To this end, work continued on updating the Specialised Training Programme for Judicial Candidates aimed at using the latest forms and methods of training, improving the quality and effectiveness of judicial education in the new socio-cultural environment.</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In 2021, in order to conduct future special training of judicial candidates, the National School of Judges</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developed course materials for inclusion in the draft Special Training Programme using the best international practices;</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in order to respond flexibly to the processes taking place in Ukraine and the world, and to adequately meet modern social challenges, it continued to monitor the assessment of the effectiveness of the process and quality of special training, as well as the effectiveness of the use of knowledge, skills and abilities by judicial candidates 6 months after their appointment as judges.</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By order of the Rector of the National School of Judges of Ukraine, he was appointed as the coordinator:</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Block I, ‘Fundamentals of Court Organisation and Judicial Activity’ - Vice-Rector Volodymyr Mazurko;</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 xml:space="preserve">Block II ‘Civil Proceedings’ - Olena Umnova, Head of the Department for Training of Teachers (Trainers); </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Block III ‘Commercial Proceedings’ - Oleksandr Potylchak, lecturer-coordinator of the Department for Training of Lecturers (Trainers);</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Block IV ‘Criminal Proceedings and Proceedings in Cases of Administrative Offences’ - Olga Korotkova, lecturer of the Department of Teacher Training;</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 xml:space="preserve">Block V ‘Administrative Procedure’ - Oleksandr Terletskyi, lecturer and scientific consultant of the Department of Teacher Training (Trainers); </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 xml:space="preserve">Block VI ‘Judicial Competences’ - Tamara Zakrevska, Deputy Head of the Department of Teacher Training. </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lastRenderedPageBreak/>
        <w:t>In 2021, the High Council of Justice recommended 211 candidates who had undergone special training at the National School of Judges for the position of judge. These persons were appointed to the positions of judges in local general courts by decrees of the President of Ukraine.</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 xml:space="preserve">Pursuant to the Procedure for Monitoring the Results of the Qualification Exam and Professional Activity of a Judge, approved by Order of the Rector No. 20 of 1 April 2020, an online survey was conducted 6 months after the appointment to the position of judge to assess the effectiveness of the process and quality of special training of candidates for the position of judge, as well as the effectiveness of the use of the knowledge, skills and abilities acquired by the candidates. </w:t>
      </w:r>
    </w:p>
    <w:p w:rsidR="00DC3000" w:rsidRPr="00DC3000" w:rsidRDefault="00DC3000" w:rsidP="00DC3000">
      <w:pPr>
        <w:spacing w:after="0"/>
        <w:ind w:firstLine="708"/>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 xml:space="preserve">Since most of the candidates who received three months of special training at the National School of Judges have been administering justice for more than 6 months, 211 monitoring questionnaires were sent to the courts where these judges work. They received 135 completed questionnaires, which were analysed and summarised to further improve the special training. </w:t>
      </w:r>
    </w:p>
    <w:p w:rsidR="00DC3000" w:rsidRDefault="00DC3000" w:rsidP="00DC3000">
      <w:pPr>
        <w:ind w:firstLine="567"/>
        <w:jc w:val="both"/>
        <w:rPr>
          <w:rFonts w:ascii="Times New Roman" w:hAnsi="Times New Roman" w:cs="Times New Roman"/>
          <w:sz w:val="28"/>
          <w:szCs w:val="28"/>
          <w:lang w:val="en-US"/>
        </w:rPr>
      </w:pPr>
      <w:r w:rsidRPr="00DC3000">
        <w:rPr>
          <w:rFonts w:ascii="Times New Roman" w:hAnsi="Times New Roman" w:cs="Times New Roman"/>
          <w:sz w:val="28"/>
          <w:szCs w:val="28"/>
          <w:lang w:val="en-US"/>
        </w:rPr>
        <w:t>The majority of respondents gave the highest marks to the components of the special training of judicial candidates. The questionnaires contain their own opinions on the benefits and suggestions for improving the effectiveness of training sessions and the content of the Specialised Training Programme for Judicial Candidates.</w:t>
      </w:r>
    </w:p>
    <w:p w:rsid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The list of judicial candidates included in the reserve and ranking based on the results of the qualification exam is systematically analysed to monitor their professional development. The information is entered into a database of specialised training graduates.</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 xml:space="preserve">        Suggestions from specialised training graduates who are already involved in judicial proceedings are appropriate guidelines for course development teams to develop the specialised training programme. Under the quarantine restrictions, the vast majority of meetings of such groups were quite effectively held remotely or in a combined version, with some of the developers working in the classroom and others remotely. In total, 24 meetings of course development groups were held for all six blocks of the special training programme and 7 developed trainings and two workshops were tested. </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 xml:space="preserve">On 12-13 May 2021, the National School of Judges, in cooperation with the Judicial Reform Support Project funded by Global Affairs Canada, successfully conducted an online test of the training for judicial candidates ‘Overcoming Gender Stereotypes in the Administration of Justice’, which for the first time invited judicial candidates who have successfully completed special training but have not yet been appointed to the position of judge. </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The online testing of the training for judicial candidates contributed to the development of new knowledge, skills and abilities in the area of overcoming gender stereotypes in the administration of justice.</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lastRenderedPageBreak/>
        <w:t xml:space="preserve">In 2021, the development of training materials was completed: </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 xml:space="preserve">‘Psychological Peculiarities of Communication with Participants in the Process Who Have Experience of Psychotraumatic Impact’; </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‘Cybercrime and electronic evidence in criminal proceedings;</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 xml:space="preserve">‘Overcoming gender stereotypes in the administration of justice; </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 xml:space="preserve">‘Dispute Resolution with the Participation of a Judge in Civil, Commercial and Administrative Proceedings; </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‘Probation in criminal proceedings;</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‘Evidence and proof in commercial proceedings;</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‘Conducting a court hearing and communicating with certain categories of litigants’;</w:t>
      </w:r>
    </w:p>
    <w:p w:rsidR="00DC3000" w:rsidRPr="00DC3000" w:rsidRDefault="00DC3000" w:rsidP="00DC3000">
      <w:pPr>
        <w:tabs>
          <w:tab w:val="left" w:pos="993"/>
        </w:tabs>
        <w:ind w:firstLine="567"/>
        <w:jc w:val="both"/>
        <w:rPr>
          <w:rFonts w:ascii="Times New Roman" w:eastAsia="Calibri" w:hAnsi="Times New Roman" w:cs="Times New Roman"/>
          <w:noProof/>
          <w:sz w:val="28"/>
          <w:szCs w:val="28"/>
          <w:lang w:val="uk-UA" w:eastAsia="uk-UA"/>
        </w:rPr>
      </w:pPr>
      <w:r w:rsidRPr="00DC3000">
        <w:rPr>
          <w:rFonts w:ascii="Times New Roman" w:eastAsia="Calibri" w:hAnsi="Times New Roman" w:cs="Times New Roman"/>
          <w:noProof/>
          <w:sz w:val="28"/>
          <w:szCs w:val="28"/>
          <w:lang w:val="uk-UA" w:eastAsia="uk-UA"/>
        </w:rPr>
        <w:t>workshops on ‘Preparatory proceedings in administrative proceedings’;</w:t>
      </w:r>
    </w:p>
    <w:p w:rsidR="00DC3000" w:rsidRPr="00F30446" w:rsidRDefault="00DC3000" w:rsidP="00DC3000">
      <w:pPr>
        <w:tabs>
          <w:tab w:val="left" w:pos="993"/>
        </w:tabs>
        <w:ind w:firstLine="567"/>
        <w:jc w:val="both"/>
        <w:rPr>
          <w:rFonts w:ascii="Times New Roman" w:eastAsia="Calibri" w:hAnsi="Times New Roman" w:cs="Times New Roman"/>
          <w:sz w:val="28"/>
          <w:szCs w:val="28"/>
          <w:lang w:val="uk-UA" w:eastAsia="ru-RU"/>
        </w:rPr>
      </w:pPr>
      <w:r w:rsidRPr="00DC3000">
        <w:rPr>
          <w:rFonts w:ascii="Times New Roman" w:eastAsia="Calibri" w:hAnsi="Times New Roman" w:cs="Times New Roman"/>
          <w:noProof/>
          <w:sz w:val="28"/>
          <w:szCs w:val="28"/>
          <w:lang w:val="uk-UA" w:eastAsia="uk-UA"/>
        </w:rPr>
        <w:t>‘Psychological examination in civil proceedings.</w:t>
      </w:r>
    </w:p>
    <w:p w:rsidR="00901DF3" w:rsidRPr="00901DF3" w:rsidRDefault="00901DF3" w:rsidP="00901DF3">
      <w:pPr>
        <w:tabs>
          <w:tab w:val="left" w:pos="993"/>
        </w:tabs>
        <w:ind w:firstLine="567"/>
        <w:jc w:val="both"/>
        <w:rPr>
          <w:rFonts w:ascii="Times New Roman" w:eastAsia="Calibri" w:hAnsi="Times New Roman" w:cs="Times New Roman"/>
          <w:sz w:val="28"/>
          <w:szCs w:val="28"/>
          <w:lang w:val="uk-UA" w:eastAsia="ru-RU"/>
        </w:rPr>
      </w:pPr>
      <w:r w:rsidRPr="00901DF3">
        <w:rPr>
          <w:rFonts w:ascii="Times New Roman" w:eastAsia="Calibri" w:hAnsi="Times New Roman" w:cs="Times New Roman"/>
          <w:sz w:val="28"/>
          <w:szCs w:val="28"/>
          <w:lang w:val="uk-UA" w:eastAsia="ru-RU"/>
        </w:rPr>
        <w:t xml:space="preserve">The materials of the workshop ‘The Art of Legal Writing and Procedural Documentation’ and the training ‘Courtroom Management’ were updated, including the recording of a video. </w:t>
      </w:r>
    </w:p>
    <w:p w:rsidR="00901DF3" w:rsidRPr="00901DF3" w:rsidRDefault="00901DF3" w:rsidP="00901DF3">
      <w:pPr>
        <w:ind w:firstLine="567"/>
        <w:jc w:val="both"/>
        <w:rPr>
          <w:rFonts w:ascii="Times New Roman" w:eastAsia="Calibri" w:hAnsi="Times New Roman" w:cs="Times New Roman"/>
          <w:sz w:val="28"/>
          <w:szCs w:val="28"/>
          <w:lang w:val="uk-UA" w:eastAsia="ru-RU"/>
        </w:rPr>
      </w:pPr>
      <w:r w:rsidRPr="00901DF3">
        <w:rPr>
          <w:rFonts w:ascii="Times New Roman" w:eastAsia="Calibri" w:hAnsi="Times New Roman" w:cs="Times New Roman"/>
          <w:sz w:val="28"/>
          <w:szCs w:val="28"/>
          <w:lang w:val="uk-UA" w:eastAsia="ru-RU"/>
        </w:rPr>
        <w:t>In order to ensure uniform approaches to the methodology of conducting classes with future judges, 11 methodological trainings were held for teacher-trainers on teaching courses for judicial candidates.</w:t>
      </w:r>
    </w:p>
    <w:p w:rsidR="001C6327" w:rsidRPr="00037561" w:rsidRDefault="00901DF3" w:rsidP="00901DF3">
      <w:pPr>
        <w:ind w:firstLine="567"/>
        <w:jc w:val="both"/>
        <w:rPr>
          <w:rFonts w:ascii="Times New Roman" w:eastAsia="Calibri" w:hAnsi="Times New Roman" w:cs="Times New Roman"/>
          <w:sz w:val="28"/>
          <w:szCs w:val="28"/>
          <w:lang w:val="uk-UA" w:eastAsia="ru-RU"/>
        </w:rPr>
      </w:pPr>
      <w:r w:rsidRPr="00901DF3">
        <w:rPr>
          <w:rFonts w:ascii="Times New Roman" w:eastAsia="Calibri" w:hAnsi="Times New Roman" w:cs="Times New Roman"/>
          <w:noProof/>
          <w:sz w:val="28"/>
          <w:szCs w:val="28"/>
          <w:lang w:val="uk-UA" w:eastAsia="uk-UA"/>
        </w:rPr>
        <w:t xml:space="preserve">One example of the training of NSJU teachers is the online training for trainers </w:t>
      </w:r>
      <w:r w:rsidRPr="00401D7A">
        <w:rPr>
          <w:rFonts w:ascii="Times New Roman" w:eastAsia="Calibri" w:hAnsi="Times New Roman" w:cs="Times New Roman"/>
          <w:b/>
          <w:noProof/>
          <w:sz w:val="28"/>
          <w:szCs w:val="28"/>
          <w:lang w:val="uk-UA" w:eastAsia="uk-UA"/>
        </w:rPr>
        <w:t>on 19 May 2021</w:t>
      </w:r>
      <w:r w:rsidRPr="00901DF3">
        <w:rPr>
          <w:rFonts w:ascii="Times New Roman" w:eastAsia="Calibri" w:hAnsi="Times New Roman" w:cs="Times New Roman"/>
          <w:noProof/>
          <w:sz w:val="28"/>
          <w:szCs w:val="28"/>
          <w:lang w:val="uk-UA" w:eastAsia="uk-UA"/>
        </w:rPr>
        <w:t>, who will conduct training sessions on ‘Preparatory Proceedings in Commercial Proceedings’ and ‘Liability for Breach of Commercial Obligations’ with judicial candidates, developed and tested in accordance with the National Standards of Judicial Education</w:t>
      </w:r>
      <w:r w:rsidR="001C6327" w:rsidRPr="00037561">
        <w:rPr>
          <w:rFonts w:ascii="Times New Roman" w:eastAsia="Calibri" w:hAnsi="Times New Roman" w:cs="Times New Roman"/>
          <w:sz w:val="28"/>
          <w:szCs w:val="28"/>
          <w:lang w:val="uk-UA" w:eastAsia="ru-RU"/>
        </w:rPr>
        <w:t xml:space="preserve">. </w:t>
      </w:r>
    </w:p>
    <w:p w:rsidR="001C6327" w:rsidRPr="00901DF3" w:rsidRDefault="00901DF3" w:rsidP="001C6327">
      <w:pPr>
        <w:ind w:firstLine="567"/>
        <w:jc w:val="both"/>
        <w:rPr>
          <w:rFonts w:ascii="Times New Roman" w:eastAsia="Calibri" w:hAnsi="Times New Roman" w:cs="Times New Roman"/>
          <w:sz w:val="28"/>
          <w:szCs w:val="28"/>
          <w:lang w:val="uk-UA" w:eastAsia="ru-RU"/>
        </w:rPr>
      </w:pPr>
      <w:r w:rsidRPr="00901DF3">
        <w:rPr>
          <w:lang w:val="en-US"/>
        </w:rPr>
        <w:t xml:space="preserve"> </w:t>
      </w:r>
      <w:r w:rsidRPr="00901DF3">
        <w:rPr>
          <w:rFonts w:ascii="Times New Roman" w:eastAsia="Calibri" w:hAnsi="Times New Roman" w:cs="Times New Roman"/>
          <w:noProof/>
          <w:sz w:val="28"/>
          <w:szCs w:val="28"/>
          <w:lang w:val="uk-UA" w:eastAsia="uk-UA"/>
        </w:rPr>
        <w:t>Potential teachers were presented with materials and basic approaches to teaching the training ‘Preparatory Proceedings in Commercial Litigation’</w:t>
      </w:r>
      <w:r w:rsidR="001C6327" w:rsidRPr="00901DF3">
        <w:rPr>
          <w:rFonts w:ascii="Times New Roman" w:eastAsia="Calibri" w:hAnsi="Times New Roman" w:cs="Times New Roman"/>
          <w:sz w:val="28"/>
          <w:szCs w:val="28"/>
          <w:lang w:val="uk-UA" w:eastAsia="ru-RU"/>
        </w:rPr>
        <w:t xml:space="preserve">. </w:t>
      </w:r>
    </w:p>
    <w:p w:rsidR="00401D7A" w:rsidRDefault="00401D7A" w:rsidP="001C6327">
      <w:pPr>
        <w:ind w:firstLine="567"/>
        <w:jc w:val="both"/>
        <w:rPr>
          <w:rFonts w:ascii="Times New Roman" w:eastAsia="Calibri" w:hAnsi="Times New Roman" w:cs="Times New Roman"/>
          <w:sz w:val="28"/>
          <w:szCs w:val="28"/>
          <w:lang w:val="uk-UA" w:eastAsia="ru-RU"/>
        </w:rPr>
      </w:pPr>
      <w:r w:rsidRPr="00401D7A">
        <w:rPr>
          <w:rFonts w:ascii="Times New Roman" w:eastAsia="Calibri" w:hAnsi="Times New Roman" w:cs="Times New Roman"/>
          <w:sz w:val="28"/>
          <w:szCs w:val="28"/>
          <w:lang w:val="uk-UA" w:eastAsia="ru-RU"/>
        </w:rPr>
        <w:t>During the presentation of the training materials on ‘Liability for breach of business obligations’, discussions were held on how to address current issues of liability for breach of business obligations.</w:t>
      </w:r>
    </w:p>
    <w:p w:rsidR="001C6327" w:rsidRPr="00037561" w:rsidRDefault="00401D7A" w:rsidP="001C6327">
      <w:pPr>
        <w:ind w:firstLine="567"/>
        <w:jc w:val="both"/>
        <w:rPr>
          <w:rFonts w:ascii="Times New Roman" w:eastAsia="Calibri" w:hAnsi="Times New Roman" w:cs="Times New Roman"/>
          <w:noProof/>
          <w:sz w:val="28"/>
          <w:szCs w:val="28"/>
          <w:lang w:val="uk-UA" w:eastAsia="ru-RU"/>
        </w:rPr>
      </w:pPr>
      <w:r w:rsidRPr="00401D7A">
        <w:rPr>
          <w:rFonts w:ascii="Times New Roman" w:eastAsia="Calibri" w:hAnsi="Times New Roman" w:cs="Times New Roman"/>
          <w:sz w:val="28"/>
          <w:szCs w:val="28"/>
          <w:lang w:val="uk-UA" w:eastAsia="ru-RU"/>
        </w:rPr>
        <w:t>The lecturers provided in-depth answers to the judges' questions that arose during the online training.</w:t>
      </w:r>
      <w:r w:rsidR="001C6327" w:rsidRPr="00037561">
        <w:rPr>
          <w:rFonts w:ascii="Times New Roman" w:eastAsia="Calibri" w:hAnsi="Times New Roman" w:cs="Times New Roman"/>
          <w:noProof/>
          <w:sz w:val="28"/>
          <w:szCs w:val="28"/>
          <w:lang w:val="uk-UA" w:eastAsia="ru-RU"/>
        </w:rPr>
        <w:t xml:space="preserve"> </w:t>
      </w:r>
    </w:p>
    <w:p w:rsidR="00401D7A" w:rsidRPr="00401D7A" w:rsidRDefault="00401D7A" w:rsidP="001C6327">
      <w:pPr>
        <w:ind w:firstLine="567"/>
        <w:jc w:val="both"/>
        <w:rPr>
          <w:rFonts w:ascii="Times New Roman" w:eastAsia="Calibri" w:hAnsi="Times New Roman" w:cs="Times New Roman"/>
          <w:bCs/>
          <w:sz w:val="28"/>
          <w:szCs w:val="28"/>
          <w:lang w:val="uk-UA" w:eastAsia="ru-RU"/>
        </w:rPr>
      </w:pPr>
      <w:r w:rsidRPr="00401D7A">
        <w:rPr>
          <w:rFonts w:ascii="Times New Roman" w:eastAsia="Calibri" w:hAnsi="Times New Roman" w:cs="Times New Roman"/>
          <w:b/>
          <w:bCs/>
          <w:sz w:val="28"/>
          <w:szCs w:val="28"/>
          <w:lang w:val="uk-UA" w:eastAsia="ru-RU"/>
        </w:rPr>
        <w:t>On 16-17 September 2021,</w:t>
      </w:r>
      <w:r w:rsidRPr="00401D7A">
        <w:rPr>
          <w:rFonts w:ascii="Times New Roman" w:eastAsia="Calibri" w:hAnsi="Times New Roman" w:cs="Times New Roman"/>
          <w:bCs/>
          <w:sz w:val="28"/>
          <w:szCs w:val="28"/>
          <w:lang w:val="uk-UA" w:eastAsia="ru-RU"/>
        </w:rPr>
        <w:t xml:space="preserve"> the National School of Judges, in cooperation with the Ukrainian-Canadian project ‘Support to Judicial Reform’, held a training for teacher-trainers of the course for judicial</w:t>
      </w:r>
      <w:r w:rsidRPr="00401D7A">
        <w:rPr>
          <w:rFonts w:ascii="Times New Roman" w:eastAsia="Calibri" w:hAnsi="Times New Roman" w:cs="Times New Roman"/>
          <w:b/>
          <w:bCs/>
          <w:sz w:val="28"/>
          <w:szCs w:val="28"/>
          <w:lang w:val="uk-UA" w:eastAsia="ru-RU"/>
        </w:rPr>
        <w:t xml:space="preserve"> </w:t>
      </w:r>
      <w:r w:rsidRPr="00401D7A">
        <w:rPr>
          <w:rFonts w:ascii="Times New Roman" w:eastAsia="Calibri" w:hAnsi="Times New Roman" w:cs="Times New Roman"/>
          <w:bCs/>
          <w:sz w:val="28"/>
          <w:szCs w:val="28"/>
          <w:lang w:val="uk-UA" w:eastAsia="ru-RU"/>
        </w:rPr>
        <w:t>candidates ‘Overcoming Gender Stereotypes in the Administration of Justice’.</w:t>
      </w:r>
    </w:p>
    <w:p w:rsidR="001C6327" w:rsidRPr="00037561" w:rsidRDefault="00401D7A" w:rsidP="001C6327">
      <w:pPr>
        <w:ind w:firstLine="567"/>
        <w:jc w:val="both"/>
        <w:rPr>
          <w:rFonts w:ascii="Times New Roman" w:eastAsia="Calibri" w:hAnsi="Times New Roman" w:cs="Times New Roman"/>
          <w:sz w:val="28"/>
          <w:szCs w:val="28"/>
          <w:lang w:val="uk-UA" w:eastAsia="ru-RU"/>
        </w:rPr>
      </w:pPr>
      <w:r w:rsidRPr="00401D7A">
        <w:rPr>
          <w:rFonts w:ascii="Times New Roman" w:eastAsia="Calibri" w:hAnsi="Times New Roman" w:cs="Times New Roman"/>
          <w:sz w:val="28"/>
          <w:szCs w:val="28"/>
          <w:lang w:val="uk-UA" w:eastAsia="ru-RU"/>
        </w:rPr>
        <w:t xml:space="preserve">During this training, a scientific and methodological manual for trainers ‘Overcoming Gender Stereotypes in the Administration of Justice’ was presented, </w:t>
      </w:r>
      <w:r w:rsidRPr="00401D7A">
        <w:rPr>
          <w:rFonts w:ascii="Times New Roman" w:eastAsia="Calibri" w:hAnsi="Times New Roman" w:cs="Times New Roman"/>
          <w:sz w:val="28"/>
          <w:szCs w:val="28"/>
          <w:lang w:val="uk-UA" w:eastAsia="ru-RU"/>
        </w:rPr>
        <w:lastRenderedPageBreak/>
        <w:t>which is very useful from a scientific and methodological point of view for teaching during special training for the position of a judge.</w:t>
      </w:r>
    </w:p>
    <w:p w:rsidR="001C6327" w:rsidRPr="00037561" w:rsidRDefault="001C6327" w:rsidP="003D7F3F">
      <w:pPr>
        <w:pStyle w:val="a7"/>
        <w:jc w:val="both"/>
        <w:rPr>
          <w:rFonts w:eastAsia="Calibri"/>
          <w:sz w:val="28"/>
          <w:szCs w:val="28"/>
          <w:lang w:eastAsia="ru-RU"/>
        </w:rPr>
      </w:pPr>
      <w:r w:rsidRPr="003D7F3F">
        <w:rPr>
          <w:rFonts w:eastAsia="Calibri"/>
          <w:noProof/>
          <w:sz w:val="28"/>
          <w:szCs w:val="28"/>
        </w:rPr>
        <w:drawing>
          <wp:anchor distT="0" distB="0" distL="114300" distR="114300" simplePos="0" relativeHeight="251717632" behindDoc="0" locked="0" layoutInCell="1" allowOverlap="1">
            <wp:simplePos x="0" y="0"/>
            <wp:positionH relativeFrom="margin">
              <wp:align>left</wp:align>
            </wp:positionH>
            <wp:positionV relativeFrom="paragraph">
              <wp:posOffset>45720</wp:posOffset>
            </wp:positionV>
            <wp:extent cx="3627755" cy="2367915"/>
            <wp:effectExtent l="0" t="0" r="0" b="0"/>
            <wp:wrapSquare wrapText="bothSides"/>
            <wp:docPr id="39" name="Рисунок 1" descr="http://www.nsj.gov.ua/images/news/kiev/2021/september/16/IMG_4433.JPG"/>
            <wp:cNvGraphicFramePr/>
            <a:graphic xmlns:a="http://schemas.openxmlformats.org/drawingml/2006/main">
              <a:graphicData uri="http://schemas.openxmlformats.org/drawingml/2006/picture">
                <pic:pic xmlns:pic="http://schemas.openxmlformats.org/drawingml/2006/picture">
                  <pic:nvPicPr>
                    <pic:cNvPr id="17" name="Рисунок 1" descr="http://www.nsj.gov.ua/images/news/kiev/2021/september/16/IMG_4433.JPG"/>
                    <pic:cNvPicPr>
                      <a:picLocks noChangeAspect="1"/>
                    </pic:cNvPicPr>
                  </pic:nvPicPr>
                  <pic:blipFill>
                    <a:blip r:embed="rId23" cstate="print">
                      <a:extLst>
                        <a:ext uri="{28A0092B-C50C-407E-A947-70E740481C1C}">
                          <a14:useLocalDpi xmlns:a14="http://schemas.microsoft.com/office/drawing/2010/main" val="0"/>
                        </a:ext>
                      </a:extLst>
                    </a:blip>
                    <a:srcRect b="3076"/>
                    <a:stretch>
                      <a:fillRect/>
                    </a:stretch>
                  </pic:blipFill>
                  <pic:spPr bwMode="auto">
                    <a:xfrm>
                      <a:off x="0" y="0"/>
                      <a:ext cx="3627755" cy="2367915"/>
                    </a:xfrm>
                    <a:prstGeom prst="rect">
                      <a:avLst/>
                    </a:prstGeom>
                    <a:ln>
                      <a:noFill/>
                    </a:ln>
                    <a:effectLst>
                      <a:softEdge rad="112500"/>
                    </a:effectLst>
                  </pic:spPr>
                </pic:pic>
              </a:graphicData>
            </a:graphic>
          </wp:anchor>
        </w:drawing>
      </w:r>
      <w:r w:rsidR="003D7F3F" w:rsidRPr="003D7F3F">
        <w:rPr>
          <w:sz w:val="28"/>
          <w:szCs w:val="28"/>
        </w:rPr>
        <w:t>The new training for judicial candidates will promote the development of knowledge, skills and abilities to overcome gender stereotypes in the administration of justice, including identifying, recognising, analysing and classifying gender stereotypes, applying the practice of the European Court and other bodies (CEDAW Committee) on gender stereotypes, and avoiding gender-biased behaviour in the work of judges</w:t>
      </w:r>
      <w:r w:rsidRPr="00037561">
        <w:rPr>
          <w:rFonts w:eastAsia="Calibri"/>
          <w:sz w:val="28"/>
          <w:szCs w:val="28"/>
          <w:lang w:eastAsia="ru-RU"/>
        </w:rPr>
        <w:t>.</w:t>
      </w:r>
    </w:p>
    <w:p w:rsidR="003D7F3F" w:rsidRPr="003D7F3F" w:rsidRDefault="003D7F3F" w:rsidP="003D7F3F">
      <w:pPr>
        <w:spacing w:before="100" w:beforeAutospacing="1" w:after="100" w:afterAutospacing="1"/>
        <w:jc w:val="both"/>
        <w:rPr>
          <w:rFonts w:ascii="Times New Roman" w:hAnsi="Times New Roman" w:cs="Times New Roman"/>
          <w:sz w:val="28"/>
          <w:szCs w:val="28"/>
          <w:lang w:val="uk-UA" w:eastAsia="uk-UA"/>
        </w:rPr>
      </w:pPr>
      <w:r w:rsidRPr="003D7F3F">
        <w:rPr>
          <w:rFonts w:ascii="Times New Roman" w:hAnsi="Times New Roman" w:cs="Times New Roman"/>
          <w:b/>
          <w:bCs/>
          <w:sz w:val="28"/>
          <w:szCs w:val="28"/>
          <w:lang w:val="uk-UA" w:eastAsia="uk-UA"/>
        </w:rPr>
        <w:t>On 28-29 October 2021</w:t>
      </w:r>
      <w:r w:rsidRPr="003D7F3F">
        <w:rPr>
          <w:rFonts w:ascii="Times New Roman" w:hAnsi="Times New Roman" w:cs="Times New Roman"/>
          <w:sz w:val="28"/>
          <w:szCs w:val="28"/>
          <w:lang w:val="uk-UA" w:eastAsia="uk-UA"/>
        </w:rPr>
        <w:t xml:space="preserve">, the National School of Judges, together with the OSCE Project Co-ordinator in Ukraine, held a </w:t>
      </w:r>
      <w:r w:rsidRPr="003D7F3F">
        <w:rPr>
          <w:rFonts w:ascii="Times New Roman" w:hAnsi="Times New Roman" w:cs="Times New Roman"/>
          <w:b/>
          <w:bCs/>
          <w:sz w:val="28"/>
          <w:szCs w:val="28"/>
          <w:lang w:val="uk-UA" w:eastAsia="uk-UA"/>
        </w:rPr>
        <w:t>workshop</w:t>
      </w:r>
      <w:r w:rsidRPr="003D7F3F">
        <w:rPr>
          <w:rFonts w:ascii="Times New Roman" w:hAnsi="Times New Roman" w:cs="Times New Roman"/>
          <w:sz w:val="28"/>
          <w:szCs w:val="28"/>
          <w:lang w:val="uk-UA" w:eastAsia="uk-UA"/>
        </w:rPr>
        <w:t xml:space="preserve"> </w:t>
      </w:r>
      <w:r w:rsidRPr="003D7F3F">
        <w:rPr>
          <w:rFonts w:ascii="Times New Roman" w:hAnsi="Times New Roman" w:cs="Times New Roman"/>
          <w:b/>
          <w:bCs/>
          <w:sz w:val="28"/>
          <w:szCs w:val="28"/>
          <w:lang w:val="uk-UA" w:eastAsia="uk-UA"/>
        </w:rPr>
        <w:t>to introduce a gender approach to the special training of judicial candidates</w:t>
      </w:r>
      <w:r w:rsidRPr="003D7F3F">
        <w:rPr>
          <w:rFonts w:ascii="Times New Roman" w:hAnsi="Times New Roman" w:cs="Times New Roman"/>
          <w:sz w:val="28"/>
          <w:szCs w:val="28"/>
          <w:lang w:val="uk-UA" w:eastAsia="uk-UA"/>
        </w:rPr>
        <w:t xml:space="preserve"> within the framework of the Support to Judicial Training project </w:t>
      </w:r>
      <w:r w:rsidRPr="003D7F3F">
        <w:rPr>
          <w:rFonts w:ascii="Times New Roman" w:hAnsi="Times New Roman" w:cs="Times New Roman"/>
          <w:b/>
          <w:bCs/>
          <w:sz w:val="28"/>
          <w:szCs w:val="28"/>
          <w:lang w:val="uk-UA" w:eastAsia="uk-UA"/>
        </w:rPr>
        <w:t>.</w:t>
      </w:r>
      <w:r w:rsidRPr="003D7F3F">
        <w:rPr>
          <w:rFonts w:ascii="Times New Roman" w:hAnsi="Times New Roman" w:cs="Times New Roman"/>
          <w:sz w:val="28"/>
          <w:szCs w:val="28"/>
          <w:lang w:val="uk-UA" w:eastAsia="uk-UA"/>
        </w:rPr>
        <w:t xml:space="preserve"> The participants determined which trainings should include gender issues and what should be the methodology for teaching them. </w:t>
      </w:r>
    </w:p>
    <w:p w:rsidR="001C6327" w:rsidRPr="00037561" w:rsidRDefault="001C6327" w:rsidP="001C6327">
      <w:pPr>
        <w:ind w:firstLine="567"/>
        <w:jc w:val="both"/>
        <w:rPr>
          <w:rFonts w:ascii="Times New Roman" w:eastAsia="Calibri" w:hAnsi="Times New Roman" w:cs="Times New Roman"/>
          <w:sz w:val="28"/>
          <w:szCs w:val="28"/>
          <w:lang w:val="uk-UA"/>
        </w:rPr>
      </w:pPr>
    </w:p>
    <w:p w:rsidR="001C6327" w:rsidRPr="003D7F3F" w:rsidRDefault="001C6327" w:rsidP="003D7F3F">
      <w:pPr>
        <w:pStyle w:val="a7"/>
        <w:jc w:val="both"/>
        <w:rPr>
          <w:rFonts w:eastAsia="Calibri"/>
          <w:sz w:val="28"/>
          <w:szCs w:val="28"/>
        </w:rPr>
      </w:pPr>
      <w:r w:rsidRPr="00037561">
        <w:rPr>
          <w:rFonts w:eastAsia="Calibri"/>
          <w:b/>
          <w:bCs/>
          <w:noProof/>
        </w:rPr>
        <w:drawing>
          <wp:anchor distT="0" distB="0" distL="114300" distR="114300" simplePos="0" relativeHeight="251718656" behindDoc="0" locked="0" layoutInCell="1" allowOverlap="1">
            <wp:simplePos x="0" y="0"/>
            <wp:positionH relativeFrom="column">
              <wp:posOffset>300990</wp:posOffset>
            </wp:positionH>
            <wp:positionV relativeFrom="paragraph">
              <wp:posOffset>38100</wp:posOffset>
            </wp:positionV>
            <wp:extent cx="1819275" cy="2567305"/>
            <wp:effectExtent l="0" t="0" r="9525" b="4445"/>
            <wp:wrapSquare wrapText="bothSides"/>
            <wp:docPr id="40" name="Рисунок 12" descr="http://www.nsj.gov.ua/images/inform_vyd/2021/2021-09-20_15_26_46-Wind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www.nsj.gov.ua/images/inform_vyd/2021/2021-09-20_15_26_46-Window.png"/>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1819275" cy="2567305"/>
                    </a:xfrm>
                    <a:prstGeom prst="rect">
                      <a:avLst/>
                    </a:prstGeom>
                    <a:noFill/>
                  </pic:spPr>
                </pic:pic>
              </a:graphicData>
            </a:graphic>
          </wp:anchor>
        </w:drawing>
      </w:r>
      <w:r w:rsidR="003D7F3F" w:rsidRPr="003D7F3F">
        <w:rPr>
          <w:b/>
          <w:bCs/>
        </w:rPr>
        <w:t xml:space="preserve"> </w:t>
      </w:r>
      <w:r w:rsidR="003D7F3F" w:rsidRPr="003D7F3F">
        <w:rPr>
          <w:b/>
          <w:bCs/>
          <w:sz w:val="28"/>
          <w:szCs w:val="28"/>
        </w:rPr>
        <w:t>New</w:t>
      </w:r>
      <w:r w:rsidR="003D7F3F" w:rsidRPr="003D7F3F">
        <w:rPr>
          <w:sz w:val="28"/>
          <w:szCs w:val="28"/>
        </w:rPr>
        <w:t xml:space="preserve"> </w:t>
      </w:r>
      <w:r w:rsidR="003D7F3F" w:rsidRPr="003D7F3F">
        <w:rPr>
          <w:b/>
          <w:bCs/>
          <w:sz w:val="28"/>
          <w:szCs w:val="28"/>
        </w:rPr>
        <w:t>scientific and methodological manual</w:t>
      </w:r>
      <w:r w:rsidR="003D7F3F" w:rsidRPr="003D7F3F">
        <w:rPr>
          <w:sz w:val="28"/>
          <w:szCs w:val="28"/>
        </w:rPr>
        <w:t xml:space="preserve"> for trainers ‘Overcoming gender stereotypes in the administration of justice’</w:t>
      </w:r>
      <w:r w:rsidR="003D7F3F" w:rsidRPr="003D7F3F">
        <w:rPr>
          <w:b/>
          <w:bCs/>
          <w:sz w:val="28"/>
          <w:szCs w:val="28"/>
        </w:rPr>
        <w:t>published</w:t>
      </w:r>
      <w:r w:rsidR="003D7F3F" w:rsidRPr="003D7F3F">
        <w:rPr>
          <w:b/>
          <w:bCs/>
          <w:sz w:val="28"/>
          <w:szCs w:val="28"/>
          <w:lang w:val="en-US"/>
        </w:rPr>
        <w:t xml:space="preserve"> </w:t>
      </w:r>
      <w:r w:rsidRPr="003D7F3F">
        <w:rPr>
          <w:rFonts w:eastAsia="Calibri"/>
          <w:sz w:val="28"/>
          <w:szCs w:val="28"/>
        </w:rPr>
        <w:t xml:space="preserve">”. </w:t>
      </w:r>
    </w:p>
    <w:p w:rsidR="003D7F3F" w:rsidRPr="003D7F3F" w:rsidRDefault="003D7F3F" w:rsidP="003D7F3F">
      <w:pPr>
        <w:spacing w:before="100" w:beforeAutospacing="1" w:after="100" w:afterAutospacing="1"/>
        <w:jc w:val="both"/>
        <w:rPr>
          <w:rFonts w:ascii="Times New Roman" w:hAnsi="Times New Roman" w:cs="Times New Roman"/>
          <w:sz w:val="28"/>
          <w:szCs w:val="28"/>
          <w:lang w:val="uk-UA" w:eastAsia="uk-UA"/>
        </w:rPr>
      </w:pPr>
      <w:r w:rsidRPr="003D7F3F">
        <w:rPr>
          <w:rFonts w:ascii="Times New Roman" w:hAnsi="Times New Roman" w:cs="Times New Roman"/>
          <w:sz w:val="28"/>
          <w:szCs w:val="28"/>
          <w:lang w:val="uk-UA" w:eastAsia="uk-UA"/>
        </w:rPr>
        <w:t>The manual was developed with the assistance of the Judicial Reform Support Project funded by Global Affairs Canada and best illustrates practical steps to further develop the National Standards of Judicial Education and implement the directions of the Strategy for the Development of Judicial Education in Ukraine for 2021-2025.</w:t>
      </w:r>
    </w:p>
    <w:p w:rsidR="003D7F3F" w:rsidRPr="003D7F3F" w:rsidRDefault="003D7F3F" w:rsidP="003D7F3F">
      <w:pPr>
        <w:spacing w:before="100" w:beforeAutospacing="1" w:after="100" w:afterAutospacing="1"/>
        <w:jc w:val="both"/>
        <w:rPr>
          <w:rFonts w:ascii="Times New Roman" w:hAnsi="Times New Roman" w:cs="Times New Roman"/>
          <w:sz w:val="28"/>
          <w:szCs w:val="28"/>
          <w:lang w:val="uk-UA" w:eastAsia="uk-UA"/>
        </w:rPr>
      </w:pPr>
      <w:r w:rsidRPr="003D7F3F">
        <w:rPr>
          <w:rFonts w:ascii="Times New Roman" w:hAnsi="Times New Roman" w:cs="Times New Roman"/>
          <w:sz w:val="28"/>
          <w:szCs w:val="28"/>
          <w:lang w:val="uk-UA" w:eastAsia="uk-UA"/>
        </w:rPr>
        <w:t xml:space="preserve">The </w:t>
      </w:r>
      <w:r w:rsidRPr="003D7F3F">
        <w:rPr>
          <w:rFonts w:ascii="Times New Roman" w:hAnsi="Times New Roman" w:cs="Times New Roman"/>
          <w:b/>
          <w:bCs/>
          <w:sz w:val="28"/>
          <w:szCs w:val="28"/>
          <w:lang w:val="uk-UA" w:eastAsia="uk-UA"/>
        </w:rPr>
        <w:t>manual for judges-mentors of judicial candidates</w:t>
      </w:r>
      <w:r w:rsidRPr="003D7F3F">
        <w:rPr>
          <w:rFonts w:ascii="Times New Roman" w:hAnsi="Times New Roman" w:cs="Times New Roman"/>
          <w:sz w:val="28"/>
          <w:szCs w:val="28"/>
          <w:lang w:val="uk-UA" w:eastAsia="uk-UA"/>
        </w:rPr>
        <w:t xml:space="preserve"> ‘Institute of Mentoring: Theory and Practice of Application in Judicial Education’ has been</w:t>
      </w:r>
      <w:r w:rsidRPr="003D7F3F">
        <w:rPr>
          <w:rFonts w:ascii="Times New Roman" w:hAnsi="Times New Roman" w:cs="Times New Roman"/>
          <w:b/>
          <w:bCs/>
          <w:sz w:val="28"/>
          <w:szCs w:val="28"/>
          <w:lang w:val="uk-UA" w:eastAsia="uk-UA"/>
        </w:rPr>
        <w:t>completed</w:t>
      </w:r>
      <w:r w:rsidRPr="003D7F3F">
        <w:rPr>
          <w:rFonts w:ascii="Times New Roman" w:hAnsi="Times New Roman" w:cs="Times New Roman"/>
          <w:sz w:val="28"/>
          <w:szCs w:val="28"/>
          <w:lang w:val="uk-UA" w:eastAsia="uk-UA"/>
        </w:rPr>
        <w:t>.</w:t>
      </w:r>
    </w:p>
    <w:p w:rsidR="003D7F3F" w:rsidRPr="003D7F3F" w:rsidRDefault="003D7F3F" w:rsidP="003D7F3F">
      <w:pPr>
        <w:spacing w:before="100" w:beforeAutospacing="1" w:after="100" w:afterAutospacing="1"/>
        <w:jc w:val="both"/>
        <w:rPr>
          <w:rFonts w:ascii="Times New Roman" w:hAnsi="Times New Roman" w:cs="Times New Roman"/>
          <w:sz w:val="28"/>
          <w:szCs w:val="28"/>
          <w:lang w:val="uk-UA" w:eastAsia="uk-UA"/>
        </w:rPr>
      </w:pPr>
      <w:r w:rsidRPr="003D7F3F">
        <w:rPr>
          <w:rFonts w:ascii="Times New Roman" w:hAnsi="Times New Roman" w:cs="Times New Roman"/>
          <w:b/>
          <w:bCs/>
          <w:sz w:val="28"/>
          <w:szCs w:val="28"/>
          <w:lang w:val="uk-UA" w:eastAsia="uk-UA"/>
        </w:rPr>
        <w:t>Today,</w:t>
      </w:r>
      <w:r w:rsidRPr="003D7F3F">
        <w:rPr>
          <w:rFonts w:ascii="Times New Roman" w:hAnsi="Times New Roman" w:cs="Times New Roman"/>
          <w:sz w:val="28"/>
          <w:szCs w:val="28"/>
          <w:lang w:val="uk-UA" w:eastAsia="uk-UA"/>
        </w:rPr>
        <w:t xml:space="preserve"> </w:t>
      </w:r>
      <w:r w:rsidRPr="003D7F3F">
        <w:rPr>
          <w:rFonts w:ascii="Times New Roman" w:hAnsi="Times New Roman" w:cs="Times New Roman"/>
          <w:b/>
          <w:bCs/>
          <w:sz w:val="28"/>
          <w:szCs w:val="28"/>
          <w:lang w:val="uk-UA" w:eastAsia="uk-UA"/>
        </w:rPr>
        <w:t>distance forms of judicial educationhave gained significant development</w:t>
      </w:r>
      <w:r w:rsidRPr="003D7F3F">
        <w:rPr>
          <w:rFonts w:ascii="Times New Roman" w:hAnsi="Times New Roman" w:cs="Times New Roman"/>
          <w:sz w:val="28"/>
          <w:szCs w:val="28"/>
          <w:lang w:val="uk-UA" w:eastAsia="uk-UA"/>
        </w:rPr>
        <w:t xml:space="preserve">. In order to conduct online classes in the process of special training of judicial candidates, the peculiarities of technical support for online classes, transfer of special </w:t>
      </w:r>
      <w:r w:rsidRPr="003D7F3F">
        <w:rPr>
          <w:rFonts w:ascii="Times New Roman" w:hAnsi="Times New Roman" w:cs="Times New Roman"/>
          <w:sz w:val="28"/>
          <w:szCs w:val="28"/>
          <w:lang w:val="uk-UA" w:eastAsia="uk-UA"/>
        </w:rPr>
        <w:lastRenderedPageBreak/>
        <w:t>training courses to an online format, and requirements for teaching materials and training of teachers (trainers) to conduct such classes with judicial candidates were studied.</w:t>
      </w:r>
    </w:p>
    <w:p w:rsidR="003D7F3F" w:rsidRPr="003D7F3F" w:rsidRDefault="003D7F3F" w:rsidP="003D7F3F">
      <w:pPr>
        <w:spacing w:before="100" w:beforeAutospacing="1" w:after="100" w:afterAutospacing="1"/>
        <w:jc w:val="both"/>
        <w:rPr>
          <w:rFonts w:ascii="Times New Roman" w:hAnsi="Times New Roman" w:cs="Times New Roman"/>
          <w:sz w:val="28"/>
          <w:szCs w:val="28"/>
          <w:lang w:val="uk-UA" w:eastAsia="uk-UA"/>
        </w:rPr>
      </w:pPr>
      <w:r w:rsidRPr="003D7F3F">
        <w:rPr>
          <w:rFonts w:ascii="Times New Roman" w:hAnsi="Times New Roman" w:cs="Times New Roman"/>
          <w:sz w:val="28"/>
          <w:szCs w:val="28"/>
          <w:lang w:val="uk-UA" w:eastAsia="uk-UA"/>
        </w:rPr>
        <w:t>Most of the training courses for judicial candidates are designed for classroom training, so measures were taken to reformat them to ensure effective online training.</w:t>
      </w:r>
    </w:p>
    <w:p w:rsidR="001C6327" w:rsidRPr="003D7F3F" w:rsidRDefault="001C6327" w:rsidP="003D7F3F">
      <w:pPr>
        <w:pStyle w:val="a7"/>
        <w:jc w:val="both"/>
        <w:rPr>
          <w:sz w:val="28"/>
          <w:szCs w:val="28"/>
        </w:rPr>
      </w:pPr>
      <w:r w:rsidRPr="003D7F3F">
        <w:rPr>
          <w:rFonts w:eastAsia="Calibri"/>
          <w:b/>
          <w:bCs/>
          <w:noProof/>
          <w:sz w:val="28"/>
          <w:szCs w:val="28"/>
        </w:rPr>
        <w:drawing>
          <wp:anchor distT="0" distB="0" distL="114300" distR="114300" simplePos="0" relativeHeight="251716608" behindDoc="0" locked="0" layoutInCell="1" allowOverlap="1">
            <wp:simplePos x="0" y="0"/>
            <wp:positionH relativeFrom="margin">
              <wp:align>left</wp:align>
            </wp:positionH>
            <wp:positionV relativeFrom="paragraph">
              <wp:posOffset>76835</wp:posOffset>
            </wp:positionV>
            <wp:extent cx="3605530" cy="2719705"/>
            <wp:effectExtent l="0" t="0" r="0" b="4445"/>
            <wp:wrapSquare wrapText="bothSides"/>
            <wp:docPr id="41" name="Рисунок 5" descr="A group of people sitting at tables&#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20" name="Рисунок 5" descr="A group of people sitting at tables&#10;&#10;Description automatically generated with low confidence"/>
                    <pic:cNvPicPr>
                      <a:picLocks noChangeAspect="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605530" cy="2719705"/>
                    </a:xfrm>
                    <a:prstGeom prst="rect">
                      <a:avLst/>
                    </a:prstGeom>
                    <a:ln>
                      <a:noFill/>
                    </a:ln>
                    <a:effectLst>
                      <a:softEdge rad="112500"/>
                    </a:effectLst>
                  </pic:spPr>
                </pic:pic>
              </a:graphicData>
            </a:graphic>
          </wp:anchor>
        </w:drawing>
      </w:r>
      <w:r w:rsidR="003D7F3F" w:rsidRPr="003D7F3F">
        <w:rPr>
          <w:sz w:val="28"/>
          <w:szCs w:val="28"/>
        </w:rPr>
        <w:t>On</w:t>
      </w:r>
      <w:r w:rsidR="003D7F3F" w:rsidRPr="003D7F3F">
        <w:rPr>
          <w:b/>
          <w:bCs/>
          <w:sz w:val="28"/>
          <w:szCs w:val="28"/>
        </w:rPr>
        <w:t>3-4 June 2021</w:t>
      </w:r>
      <w:r w:rsidR="003D7F3F" w:rsidRPr="003D7F3F">
        <w:rPr>
          <w:sz w:val="28"/>
          <w:szCs w:val="28"/>
        </w:rPr>
        <w:t xml:space="preserve">, the National School </w:t>
      </w:r>
      <w:r w:rsidR="003D7F3F" w:rsidRPr="003D7F3F">
        <w:rPr>
          <w:b/>
          <w:bCs/>
          <w:sz w:val="28"/>
          <w:szCs w:val="28"/>
        </w:rPr>
        <w:t>of Justice</w:t>
      </w:r>
      <w:r w:rsidR="003D7F3F" w:rsidRPr="003D7F3F">
        <w:rPr>
          <w:sz w:val="28"/>
          <w:szCs w:val="28"/>
        </w:rPr>
        <w:t xml:space="preserve">, in cooperation with the OSCE Project Co-ordinator in Ukraine, held </w:t>
      </w:r>
      <w:r w:rsidR="003D7F3F">
        <w:rPr>
          <w:sz w:val="28"/>
          <w:szCs w:val="28"/>
          <w:lang w:val="en-US"/>
        </w:rPr>
        <w:t xml:space="preserve">              </w:t>
      </w:r>
      <w:r w:rsidR="003D7F3F" w:rsidRPr="003D7F3F">
        <w:rPr>
          <w:b/>
          <w:bCs/>
          <w:sz w:val="28"/>
          <w:szCs w:val="28"/>
        </w:rPr>
        <w:t>a meeting of the group developing</w:t>
      </w:r>
      <w:r w:rsidR="003D7F3F">
        <w:rPr>
          <w:b/>
          <w:bCs/>
          <w:sz w:val="28"/>
          <w:szCs w:val="28"/>
          <w:lang w:val="en-US"/>
        </w:rPr>
        <w:t xml:space="preserve"> </w:t>
      </w:r>
      <w:r w:rsidR="003D7F3F" w:rsidRPr="003D7F3F">
        <w:rPr>
          <w:bCs/>
          <w:sz w:val="28"/>
          <w:szCs w:val="28"/>
        </w:rPr>
        <w:t>methodological recommendations for the effective implementation of distance (online) training of justice system personnel</w:t>
      </w:r>
      <w:r w:rsidRPr="003D7F3F">
        <w:rPr>
          <w:rFonts w:eastAsia="Calibri"/>
          <w:b/>
          <w:bCs/>
          <w:sz w:val="28"/>
          <w:szCs w:val="28"/>
          <w:lang w:eastAsia="ru-RU"/>
        </w:rPr>
        <w:t xml:space="preserve">. </w:t>
      </w:r>
    </w:p>
    <w:p w:rsidR="003D7F3F" w:rsidRPr="003D7F3F" w:rsidRDefault="003D7F3F" w:rsidP="003D7F3F">
      <w:pPr>
        <w:spacing w:before="100" w:beforeAutospacing="1" w:after="100" w:afterAutospacing="1"/>
        <w:jc w:val="both"/>
        <w:rPr>
          <w:rFonts w:ascii="Times New Roman" w:hAnsi="Times New Roman" w:cs="Times New Roman"/>
          <w:sz w:val="28"/>
          <w:szCs w:val="28"/>
          <w:lang w:val="uk-UA" w:eastAsia="uk-UA"/>
        </w:rPr>
      </w:pPr>
      <w:r w:rsidRPr="003D7F3F">
        <w:rPr>
          <w:rFonts w:ascii="Times New Roman" w:hAnsi="Times New Roman" w:cs="Times New Roman"/>
          <w:sz w:val="28"/>
          <w:szCs w:val="28"/>
          <w:lang w:val="uk-UA" w:eastAsia="uk-UA"/>
        </w:rPr>
        <w:t>International experts shared their international experience of distance (online) training of justice system personnel: E. (Astrid) Hopma, Distance Education Advisor, Training and Study Centre for the Judiciary (Utrecht, the Netherlands), A. Tagapari, Representative of the International Department, Judicial Training Centre Utrecht (the Netherlands), Antonella Ciriello, Member of the Board, Scuola superiore della Magistratura (Roma, Italy).</w:t>
      </w:r>
    </w:p>
    <w:p w:rsidR="001C6327" w:rsidRPr="00037561" w:rsidRDefault="001C6327" w:rsidP="001C6327">
      <w:pPr>
        <w:ind w:firstLine="567"/>
        <w:jc w:val="both"/>
        <w:rPr>
          <w:rFonts w:ascii="Times New Roman" w:eastAsia="Calibri" w:hAnsi="Times New Roman" w:cs="Times New Roman"/>
          <w:sz w:val="28"/>
          <w:szCs w:val="28"/>
          <w:lang w:val="uk-UA" w:eastAsia="ru-RU"/>
        </w:rPr>
      </w:pPr>
    </w:p>
    <w:p w:rsidR="00195499" w:rsidRPr="00195499" w:rsidRDefault="00195499" w:rsidP="00195499">
      <w:pPr>
        <w:spacing w:before="100" w:beforeAutospacing="1" w:after="100" w:afterAutospacing="1"/>
        <w:jc w:val="center"/>
        <w:rPr>
          <w:rFonts w:ascii="Times New Roman" w:hAnsi="Times New Roman" w:cs="Times New Roman"/>
          <w:sz w:val="28"/>
          <w:szCs w:val="28"/>
          <w:lang w:val="uk-UA" w:eastAsia="uk-UA"/>
        </w:rPr>
      </w:pPr>
      <w:r w:rsidRPr="00195499">
        <w:rPr>
          <w:rFonts w:ascii="Times New Roman" w:hAnsi="Times New Roman" w:cs="Times New Roman"/>
          <w:b/>
          <w:bCs/>
          <w:sz w:val="28"/>
          <w:szCs w:val="28"/>
          <w:lang w:val="uk-UA" w:eastAsia="uk-UA"/>
        </w:rPr>
        <w:t>IV.</w:t>
      </w:r>
      <w:r w:rsidRPr="00195499">
        <w:rPr>
          <w:rFonts w:ascii="Times New Roman" w:hAnsi="Times New Roman" w:cs="Times New Roman"/>
          <w:sz w:val="28"/>
          <w:szCs w:val="28"/>
          <w:lang w:val="uk-UA" w:eastAsia="uk-UA"/>
        </w:rPr>
        <w:t xml:space="preserve"> </w:t>
      </w:r>
      <w:r w:rsidRPr="00195499">
        <w:rPr>
          <w:rFonts w:ascii="Times New Roman" w:hAnsi="Times New Roman" w:cs="Times New Roman"/>
          <w:b/>
          <w:bCs/>
          <w:sz w:val="28"/>
          <w:szCs w:val="28"/>
          <w:lang w:val="uk-UA" w:eastAsia="uk-UA"/>
        </w:rPr>
        <w:t>TRAINING OF COURT SECURITY OFFICERS</w:t>
      </w:r>
    </w:p>
    <w:p w:rsidR="00195499" w:rsidRPr="00195499" w:rsidRDefault="00195499" w:rsidP="00195499">
      <w:pPr>
        <w:spacing w:before="100" w:beforeAutospacing="1" w:after="100" w:afterAutospacing="1"/>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The Strategy for the Development of Judicial Education in Ukraine for 2021-2025 envisages the development of a comprehensive training programme for employees of the Court Security Service (CSC), which provides for</w:t>
      </w:r>
    </w:p>
    <w:p w:rsidR="00195499" w:rsidRPr="00195499" w:rsidRDefault="00195499" w:rsidP="00195499">
      <w:pPr>
        <w:spacing w:before="100" w:beforeAutospacing="1" w:after="100" w:afterAutospacing="1"/>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Identification of the training needs of the Court Security Service employees;</w:t>
      </w:r>
    </w:p>
    <w:p w:rsidR="00195499" w:rsidRPr="00195499" w:rsidRDefault="00195499" w:rsidP="00195499">
      <w:pPr>
        <w:spacing w:before="100" w:beforeAutospacing="1" w:after="100" w:afterAutospacing="1"/>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introduction of local regulation of the content and organisation of training of employees of the Court Security Service;</w:t>
      </w:r>
    </w:p>
    <w:p w:rsidR="00195499" w:rsidRPr="00195499" w:rsidRDefault="00195499" w:rsidP="00195499">
      <w:pPr>
        <w:spacing w:before="100" w:beforeAutospacing="1" w:after="100" w:afterAutospacing="1"/>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development of courses for the training of employees of the Court Security Service;</w:t>
      </w:r>
    </w:p>
    <w:p w:rsidR="00195499" w:rsidRPr="00195499" w:rsidRDefault="00195499" w:rsidP="00195499">
      <w:pPr>
        <w:spacing w:before="100" w:beforeAutospacing="1" w:after="100" w:afterAutospacing="1"/>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training of trainers (teachers) for employees of the Court Security Service.</w:t>
      </w:r>
    </w:p>
    <w:p w:rsidR="00195499" w:rsidRPr="00195499" w:rsidRDefault="00195499" w:rsidP="00195499">
      <w:pPr>
        <w:spacing w:before="100" w:beforeAutospacing="1" w:after="100" w:afterAutospacing="1"/>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lastRenderedPageBreak/>
        <w:t>The Law of Ukraine No. 1417-IX of 27 April 2021 supplemented Article 105 of the Law of Ukraine ‘On the Judiciary and the Status of Judges’ with paragraph</w:t>
      </w:r>
      <w:r w:rsidRPr="00195499">
        <w:rPr>
          <w:rFonts w:ascii="Times New Roman" w:hAnsi="Times New Roman" w:cs="Times New Roman"/>
          <w:sz w:val="28"/>
          <w:szCs w:val="28"/>
          <w:vertAlign w:val="superscript"/>
          <w:lang w:val="uk-UA" w:eastAsia="uk-UA"/>
        </w:rPr>
        <w:t>51</w:t>
      </w:r>
      <w:r w:rsidRPr="00195499">
        <w:rPr>
          <w:rFonts w:ascii="Times New Roman" w:hAnsi="Times New Roman" w:cs="Times New Roman"/>
          <w:sz w:val="28"/>
          <w:szCs w:val="28"/>
          <w:lang w:val="uk-UA" w:eastAsia="uk-UA"/>
        </w:rPr>
        <w:t>, according to which the National School of Judges trains employees of the Court Protection Service and improves their qualifications.</w:t>
      </w:r>
    </w:p>
    <w:p w:rsidR="00195499" w:rsidRPr="00195499" w:rsidRDefault="00195499" w:rsidP="00195499">
      <w:pPr>
        <w:spacing w:before="100" w:beforeAutospacing="1" w:after="100" w:afterAutospacing="1"/>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The training of employees of the Judicial Protection Service is carried out in accordance with the established procedure and calendar plan agreed with the Head of the Judicial Protection Service and approved by the Rector of the National School of Judges.</w:t>
      </w:r>
    </w:p>
    <w:p w:rsidR="00195499" w:rsidRPr="00195499" w:rsidRDefault="00195499" w:rsidP="00195499">
      <w:pPr>
        <w:spacing w:before="100" w:beforeAutospacing="1" w:after="100" w:afterAutospacing="1"/>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In accordance with the above Law, the Strategy for the Development of Judicial Education in Ukraine for 2021-2025, and in order to ensure the proper organisation and conduct of training of employees of the Judicial Protection Service, on 20 August 2021, the Rector of the National School of Judges of Ukraine approved the Comprehensive Training Programme for Employees of the Judicial Protection Service and the Procedure for Training Employees of the Judicial Protection Service and Improving Their Qualifications. These documents were developed in accordance with the National Standards of Judicial Education, which are based on the core values of the National School of Judges, such as professionalism, innovation, efficiency, leadership and cooperation, responsibility and integrity.</w:t>
      </w:r>
    </w:p>
    <w:p w:rsidR="00195499" w:rsidRPr="00195499" w:rsidRDefault="00195499" w:rsidP="00195499">
      <w:pPr>
        <w:spacing w:before="100" w:beforeAutospacing="1" w:after="100" w:afterAutospacing="1"/>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Classes are held in all regional offices of the National School of Judges for both employees of the Court Protection Service and heads of structural units of the Service, together with judges and court staff.</w:t>
      </w:r>
    </w:p>
    <w:p w:rsidR="00195499" w:rsidRPr="00195499" w:rsidRDefault="001C6327" w:rsidP="00195499">
      <w:pPr>
        <w:pStyle w:val="a7"/>
        <w:rPr>
          <w:sz w:val="28"/>
          <w:szCs w:val="28"/>
        </w:rPr>
      </w:pPr>
      <w:r w:rsidRPr="00136846">
        <w:rPr>
          <w:rFonts w:eastAsia="Calibri"/>
          <w:noProof/>
        </w:rPr>
        <w:lastRenderedPageBreak/>
        <w:drawing>
          <wp:anchor distT="0" distB="0" distL="114300" distR="114300" simplePos="0" relativeHeight="251721728" behindDoc="0" locked="0" layoutInCell="1" allowOverlap="1">
            <wp:simplePos x="0" y="0"/>
            <wp:positionH relativeFrom="margin">
              <wp:align>right</wp:align>
            </wp:positionH>
            <wp:positionV relativeFrom="paragraph">
              <wp:posOffset>765175</wp:posOffset>
            </wp:positionV>
            <wp:extent cx="6010910" cy="3688080"/>
            <wp:effectExtent l="0" t="0" r="8890" b="7620"/>
            <wp:wrapSquare wrapText="right"/>
            <wp:docPr id="42" name="Диаграмма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anchor>
        </w:drawing>
      </w:r>
      <w:r w:rsidR="00195499" w:rsidRPr="00195499">
        <w:t xml:space="preserve"> </w:t>
      </w:r>
      <w:r w:rsidR="00195499" w:rsidRPr="00195499">
        <w:rPr>
          <w:sz w:val="28"/>
          <w:szCs w:val="28"/>
        </w:rPr>
        <w:t xml:space="preserve">In 2021, </w:t>
      </w:r>
      <w:r w:rsidR="00195499" w:rsidRPr="00195499">
        <w:rPr>
          <w:b/>
          <w:bCs/>
          <w:sz w:val="28"/>
          <w:szCs w:val="28"/>
        </w:rPr>
        <w:t>102 classes</w:t>
      </w:r>
      <w:r w:rsidR="00195499" w:rsidRPr="00195499">
        <w:rPr>
          <w:sz w:val="28"/>
          <w:szCs w:val="28"/>
        </w:rPr>
        <w:t xml:space="preserve"> were held, including </w:t>
      </w:r>
      <w:r w:rsidR="00195499" w:rsidRPr="00195499">
        <w:rPr>
          <w:b/>
          <w:bCs/>
          <w:sz w:val="28"/>
          <w:szCs w:val="28"/>
        </w:rPr>
        <w:t>51 trainings</w:t>
      </w:r>
      <w:r w:rsidR="00195499" w:rsidRPr="00195499">
        <w:rPr>
          <w:sz w:val="28"/>
          <w:szCs w:val="28"/>
        </w:rPr>
        <w:t xml:space="preserve">, </w:t>
      </w:r>
      <w:r w:rsidR="00195499" w:rsidRPr="00195499">
        <w:rPr>
          <w:b/>
          <w:bCs/>
          <w:sz w:val="28"/>
          <w:szCs w:val="28"/>
        </w:rPr>
        <w:t>33 seminars</w:t>
      </w:r>
      <w:r w:rsidR="00195499" w:rsidRPr="00195499">
        <w:rPr>
          <w:sz w:val="28"/>
          <w:szCs w:val="28"/>
        </w:rPr>
        <w:t xml:space="preserve">, </w:t>
      </w:r>
      <w:r w:rsidR="00195499" w:rsidRPr="00195499">
        <w:rPr>
          <w:b/>
          <w:bCs/>
          <w:sz w:val="28"/>
          <w:szCs w:val="28"/>
        </w:rPr>
        <w:t>18 round tables</w:t>
      </w:r>
      <w:r w:rsidR="00195499" w:rsidRPr="00195499">
        <w:rPr>
          <w:sz w:val="28"/>
          <w:szCs w:val="28"/>
        </w:rPr>
        <w:t xml:space="preserve">, and </w:t>
      </w:r>
      <w:r w:rsidR="00195499" w:rsidRPr="00195499">
        <w:rPr>
          <w:b/>
          <w:bCs/>
          <w:sz w:val="28"/>
          <w:szCs w:val="28"/>
        </w:rPr>
        <w:t>2615</w:t>
      </w:r>
      <w:r w:rsidR="00195499" w:rsidRPr="00195499">
        <w:rPr>
          <w:sz w:val="28"/>
          <w:szCs w:val="28"/>
        </w:rPr>
        <w:t xml:space="preserve"> SBU employees were trained.</w:t>
      </w:r>
    </w:p>
    <w:p w:rsidR="005375BE" w:rsidRDefault="005375BE" w:rsidP="001C6327">
      <w:pPr>
        <w:ind w:firstLine="567"/>
        <w:jc w:val="both"/>
        <w:rPr>
          <w:rFonts w:ascii="Times New Roman" w:eastAsia="Calibri" w:hAnsi="Times New Roman" w:cs="Times New Roman"/>
          <w:sz w:val="28"/>
          <w:szCs w:val="28"/>
          <w:lang w:val="uk-UA"/>
        </w:rPr>
      </w:pP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b/>
          <w:bCs/>
          <w:sz w:val="28"/>
          <w:szCs w:val="28"/>
          <w:lang w:val="uk-UA" w:eastAsia="uk-UA"/>
        </w:rPr>
        <w:t>Topics of the roundtables:</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‘Functioning of the Judicial Protection Service in the Ukrainian justice system’;</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‘Human-centred court’;</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b/>
          <w:bCs/>
          <w:sz w:val="28"/>
          <w:szCs w:val="28"/>
          <w:lang w:val="uk-UA" w:eastAsia="uk-UA"/>
        </w:rPr>
        <w:t>seminars:</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‘Judicial system of Ukraine, legislation on the judiciary and the status of judges’;</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‘Effective communication in professional activities’;</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‘Practices in the field of judicial security’;</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Legal basis of the Judicial Security Service;</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‘Preventing and Combating Corruption: Certain Aspects of Ukrainian Legislation. Features of electronic declaration’;</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‘Peculiarities of service by employees of the Judicial Protection Service’;</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‘Ukrainian business speech and speech etiquette’;</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‘Vocabulary workshop: language competence’;</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b/>
          <w:bCs/>
          <w:sz w:val="28"/>
          <w:szCs w:val="28"/>
          <w:lang w:val="uk-UA" w:eastAsia="uk-UA"/>
        </w:rPr>
        <w:t>trainings:</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‘Building an effective team’;</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‘Ensuring Personal Security of Judges and Their Family Members, Court Staff. Public Safety’;</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‘Professional Ethics of the Judicial Protection Service Employees’;</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‘Provision of first aid by employees of the Judicial Protection Service’;</w:t>
      </w:r>
    </w:p>
    <w:p w:rsidR="00195499" w:rsidRPr="00195499" w:rsidRDefault="00195499" w:rsidP="00195499">
      <w:pPr>
        <w:spacing w:after="0"/>
        <w:jc w:val="both"/>
        <w:rPr>
          <w:rFonts w:ascii="Times New Roman" w:hAnsi="Times New Roman" w:cs="Times New Roman"/>
          <w:sz w:val="28"/>
          <w:szCs w:val="28"/>
          <w:lang w:val="uk-UA" w:eastAsia="uk-UA"/>
        </w:rPr>
      </w:pPr>
      <w:r w:rsidRPr="00195499">
        <w:rPr>
          <w:rFonts w:ascii="Times New Roman" w:hAnsi="Times New Roman" w:cs="Times New Roman"/>
          <w:sz w:val="28"/>
          <w:szCs w:val="28"/>
          <w:lang w:val="uk-UA" w:eastAsia="uk-UA"/>
        </w:rPr>
        <w:t>- Improving access to justice for people with hearing impairments.</w:t>
      </w:r>
    </w:p>
    <w:p w:rsidR="001C6327" w:rsidRPr="00136846" w:rsidRDefault="001C6327" w:rsidP="001C6327">
      <w:pPr>
        <w:jc w:val="both"/>
        <w:rPr>
          <w:rFonts w:ascii="Times New Roman" w:eastAsia="Calibri" w:hAnsi="Times New Roman" w:cs="Times New Roman"/>
          <w:sz w:val="28"/>
          <w:szCs w:val="28"/>
          <w:lang w:val="uk-UA"/>
        </w:rPr>
      </w:pPr>
    </w:p>
    <w:tbl>
      <w:tblPr>
        <w:tblStyle w:val="17"/>
        <w:tblW w:w="9756" w:type="dxa"/>
        <w:tblLook w:val="04A0" w:firstRow="1" w:lastRow="0" w:firstColumn="1" w:lastColumn="0" w:noHBand="0" w:noVBand="1"/>
      </w:tblPr>
      <w:tblGrid>
        <w:gridCol w:w="4800"/>
        <w:gridCol w:w="4956"/>
      </w:tblGrid>
      <w:tr w:rsidR="001C6327" w:rsidRPr="00136846" w:rsidTr="005E0C80">
        <w:tc>
          <w:tcPr>
            <w:tcW w:w="4800" w:type="dxa"/>
            <w:tcBorders>
              <w:top w:val="nil"/>
              <w:left w:val="nil"/>
              <w:bottom w:val="nil"/>
              <w:right w:val="nil"/>
            </w:tcBorders>
            <w:hideMark/>
          </w:tcPr>
          <w:p w:rsidR="001C6327" w:rsidRPr="00136846" w:rsidRDefault="001C6327" w:rsidP="005E0C80">
            <w:pPr>
              <w:ind w:left="-426"/>
              <w:jc w:val="both"/>
              <w:rPr>
                <w:rFonts w:ascii="Times New Roman" w:eastAsia="Calibri" w:hAnsi="Times New Roman" w:cs="Times New Roman"/>
                <w:sz w:val="28"/>
                <w:szCs w:val="28"/>
              </w:rPr>
            </w:pPr>
            <w:r w:rsidRPr="00136846">
              <w:rPr>
                <w:rFonts w:ascii="Times New Roman" w:eastAsia="Calibri" w:hAnsi="Times New Roman" w:cs="Times New Roman"/>
                <w:noProof/>
                <w:sz w:val="28"/>
                <w:szCs w:val="28"/>
                <w:lang w:val="uk-UA" w:eastAsia="uk-UA"/>
              </w:rPr>
              <w:drawing>
                <wp:inline distT="0" distB="0" distL="0" distR="0">
                  <wp:extent cx="3176905" cy="1762125"/>
                  <wp:effectExtent l="0" t="0" r="4445" b="9525"/>
                  <wp:docPr id="43" name="Рисунок 9"/>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177542" cy="1762478"/>
                          </a:xfrm>
                          <a:prstGeom prst="rect">
                            <a:avLst/>
                          </a:prstGeom>
                          <a:ln>
                            <a:noFill/>
                          </a:ln>
                          <a:effectLst>
                            <a:softEdge rad="112500"/>
                          </a:effectLst>
                        </pic:spPr>
                      </pic:pic>
                    </a:graphicData>
                  </a:graphic>
                </wp:inline>
              </w:drawing>
            </w:r>
          </w:p>
        </w:tc>
        <w:tc>
          <w:tcPr>
            <w:tcW w:w="4956" w:type="dxa"/>
            <w:tcBorders>
              <w:top w:val="nil"/>
              <w:left w:val="nil"/>
              <w:bottom w:val="nil"/>
              <w:right w:val="nil"/>
            </w:tcBorders>
            <w:hideMark/>
          </w:tcPr>
          <w:p w:rsidR="001C6327" w:rsidRPr="00136846" w:rsidRDefault="001C6327" w:rsidP="005E0C80">
            <w:pPr>
              <w:jc w:val="both"/>
              <w:rPr>
                <w:rFonts w:ascii="Times New Roman" w:eastAsia="Calibri" w:hAnsi="Times New Roman" w:cs="Times New Roman"/>
                <w:sz w:val="28"/>
                <w:szCs w:val="28"/>
              </w:rPr>
            </w:pPr>
            <w:r w:rsidRPr="00136846">
              <w:rPr>
                <w:rFonts w:ascii="Times New Roman" w:eastAsia="Calibri" w:hAnsi="Times New Roman" w:cs="Times New Roman"/>
                <w:noProof/>
                <w:sz w:val="28"/>
                <w:szCs w:val="28"/>
                <w:lang w:val="uk-UA" w:eastAsia="uk-UA"/>
              </w:rPr>
              <w:drawing>
                <wp:inline distT="0" distB="0" distL="0" distR="0">
                  <wp:extent cx="2996605" cy="1781175"/>
                  <wp:effectExtent l="0" t="0" r="0" b="0"/>
                  <wp:docPr id="44" name="Рисунок 10"/>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003790" cy="1785446"/>
                          </a:xfrm>
                          <a:prstGeom prst="rect">
                            <a:avLst/>
                          </a:prstGeom>
                          <a:ln>
                            <a:noFill/>
                          </a:ln>
                          <a:effectLst>
                            <a:softEdge rad="112500"/>
                          </a:effectLst>
                        </pic:spPr>
                      </pic:pic>
                    </a:graphicData>
                  </a:graphic>
                </wp:inline>
              </w:drawing>
            </w:r>
          </w:p>
        </w:tc>
      </w:tr>
      <w:tr w:rsidR="001C6327" w:rsidRPr="00136846" w:rsidTr="005E0C80">
        <w:trPr>
          <w:trHeight w:val="499"/>
        </w:trPr>
        <w:tc>
          <w:tcPr>
            <w:tcW w:w="4800" w:type="dxa"/>
            <w:tcBorders>
              <w:top w:val="nil"/>
              <w:left w:val="nil"/>
              <w:bottom w:val="nil"/>
              <w:right w:val="nil"/>
            </w:tcBorders>
          </w:tcPr>
          <w:p w:rsidR="001C6327" w:rsidRPr="00136846" w:rsidRDefault="001C6327" w:rsidP="005E0C80">
            <w:pPr>
              <w:ind w:firstLine="567"/>
              <w:jc w:val="both"/>
              <w:rPr>
                <w:rFonts w:ascii="Times New Roman" w:eastAsia="Calibri" w:hAnsi="Times New Roman" w:cs="Times New Roman"/>
                <w:noProof/>
                <w:sz w:val="28"/>
                <w:szCs w:val="28"/>
              </w:rPr>
            </w:pPr>
          </w:p>
        </w:tc>
        <w:tc>
          <w:tcPr>
            <w:tcW w:w="4956" w:type="dxa"/>
            <w:tcBorders>
              <w:top w:val="nil"/>
              <w:left w:val="nil"/>
              <w:bottom w:val="nil"/>
              <w:right w:val="nil"/>
            </w:tcBorders>
          </w:tcPr>
          <w:p w:rsidR="001C6327" w:rsidRPr="00136846" w:rsidRDefault="001C6327" w:rsidP="005E0C80">
            <w:pPr>
              <w:ind w:firstLine="567"/>
              <w:jc w:val="both"/>
              <w:rPr>
                <w:rFonts w:ascii="Times New Roman" w:eastAsia="Calibri" w:hAnsi="Times New Roman" w:cs="Times New Roman"/>
                <w:noProof/>
                <w:sz w:val="28"/>
                <w:szCs w:val="28"/>
              </w:rPr>
            </w:pPr>
          </w:p>
        </w:tc>
      </w:tr>
    </w:tbl>
    <w:p w:rsidR="006A718F" w:rsidRPr="006A718F" w:rsidRDefault="006A718F" w:rsidP="006A718F">
      <w:pPr>
        <w:spacing w:before="100" w:beforeAutospacing="1" w:after="100" w:afterAutospacing="1"/>
        <w:jc w:val="both"/>
        <w:rPr>
          <w:rFonts w:ascii="Times New Roman" w:hAnsi="Times New Roman" w:cs="Times New Roman"/>
          <w:sz w:val="28"/>
          <w:szCs w:val="28"/>
          <w:lang w:val="uk-UA" w:eastAsia="uk-UA"/>
        </w:rPr>
      </w:pPr>
      <w:r w:rsidRPr="006A718F">
        <w:rPr>
          <w:rFonts w:ascii="Times New Roman" w:hAnsi="Times New Roman" w:cs="Times New Roman"/>
          <w:sz w:val="28"/>
          <w:szCs w:val="28"/>
          <w:lang w:val="uk-UA" w:eastAsia="uk-UA"/>
        </w:rPr>
        <w:t xml:space="preserve">In 2021, in cooperation with international technical assistance programmes and projects, the National School of Judges of Ukraine engaged international experts from the European Union Project ‘Support to Rule of Law Reforms in Ukraine (PRAVO-JUSTICE)’ - a security specialist from the Ministry of Foreign Affairs of the Netherlands, </w:t>
      </w:r>
      <w:r w:rsidRPr="006A718F">
        <w:rPr>
          <w:rFonts w:ascii="Times New Roman" w:hAnsi="Times New Roman" w:cs="Times New Roman"/>
          <w:b/>
          <w:bCs/>
          <w:sz w:val="28"/>
          <w:szCs w:val="28"/>
          <w:lang w:val="uk-UA" w:eastAsia="uk-UA"/>
        </w:rPr>
        <w:t xml:space="preserve">Cornelis Verhaeren </w:t>
      </w:r>
      <w:r w:rsidRPr="006A718F">
        <w:rPr>
          <w:rFonts w:ascii="Times New Roman" w:hAnsi="Times New Roman" w:cs="Times New Roman"/>
          <w:sz w:val="28"/>
          <w:szCs w:val="28"/>
          <w:lang w:val="uk-UA" w:eastAsia="uk-UA"/>
        </w:rPr>
        <w:t xml:space="preserve">, Head of the Garowe Field Office, </w:t>
      </w:r>
      <w:r w:rsidRPr="006A718F">
        <w:rPr>
          <w:rFonts w:ascii="Times New Roman" w:hAnsi="Times New Roman" w:cs="Times New Roman"/>
          <w:b/>
          <w:bCs/>
          <w:sz w:val="28"/>
          <w:szCs w:val="28"/>
          <w:lang w:val="uk-UA" w:eastAsia="uk-UA"/>
        </w:rPr>
        <w:t>Somalia, Silviu Sandru</w:t>
      </w:r>
      <w:r w:rsidRPr="006A718F">
        <w:rPr>
          <w:rFonts w:ascii="Times New Roman" w:hAnsi="Times New Roman" w:cs="Times New Roman"/>
          <w:sz w:val="28"/>
          <w:szCs w:val="28"/>
          <w:lang w:val="uk-UA" w:eastAsia="uk-UA"/>
        </w:rPr>
        <w:t xml:space="preserve">, Head of Security at the Special Tribunal for Lebanon, and </w:t>
      </w:r>
      <w:r w:rsidRPr="006A718F">
        <w:rPr>
          <w:rFonts w:ascii="Times New Roman" w:hAnsi="Times New Roman" w:cs="Times New Roman"/>
          <w:b/>
          <w:bCs/>
          <w:sz w:val="28"/>
          <w:szCs w:val="28"/>
          <w:lang w:val="uk-UA" w:eastAsia="uk-UA"/>
        </w:rPr>
        <w:t>Marcus Rolofs</w:t>
      </w:r>
      <w:r w:rsidRPr="006A718F">
        <w:rPr>
          <w:rFonts w:ascii="Times New Roman" w:hAnsi="Times New Roman" w:cs="Times New Roman"/>
          <w:sz w:val="28"/>
          <w:szCs w:val="28"/>
          <w:lang w:val="uk-UA" w:eastAsia="uk-UA"/>
        </w:rPr>
        <w:t xml:space="preserve">, Rule of Law Adviser at the European Union Advisory Mission Ukraine, Lviv Regional Office </w:t>
      </w:r>
      <w:r w:rsidRPr="006A718F">
        <w:rPr>
          <w:rFonts w:ascii="Times New Roman" w:hAnsi="Times New Roman" w:cs="Times New Roman"/>
          <w:b/>
          <w:bCs/>
          <w:sz w:val="28"/>
          <w:szCs w:val="28"/>
          <w:lang w:val="uk-UA" w:eastAsia="uk-UA"/>
        </w:rPr>
        <w:t>.</w:t>
      </w:r>
      <w:r w:rsidRPr="006A718F">
        <w:rPr>
          <w:rFonts w:ascii="Times New Roman" w:hAnsi="Times New Roman" w:cs="Times New Roman"/>
          <w:sz w:val="28"/>
          <w:szCs w:val="28"/>
          <w:lang w:val="uk-UA" w:eastAsia="uk-UA"/>
        </w:rPr>
        <w:t xml:space="preserve"> The international experts shared with the Service's staff the best European practices of emergency security and the best ethical standards of similar services in Europe.</w:t>
      </w:r>
    </w:p>
    <w:p w:rsidR="006A718F" w:rsidRPr="006A718F" w:rsidRDefault="006A718F" w:rsidP="006A718F">
      <w:pPr>
        <w:spacing w:before="100" w:beforeAutospacing="1" w:after="100" w:afterAutospacing="1"/>
        <w:jc w:val="both"/>
        <w:rPr>
          <w:rFonts w:ascii="Times New Roman" w:hAnsi="Times New Roman" w:cs="Times New Roman"/>
          <w:sz w:val="28"/>
          <w:szCs w:val="28"/>
          <w:lang w:val="uk-UA" w:eastAsia="uk-UA"/>
        </w:rPr>
      </w:pPr>
      <w:r w:rsidRPr="006A718F">
        <w:rPr>
          <w:rFonts w:ascii="Times New Roman" w:hAnsi="Times New Roman" w:cs="Times New Roman"/>
          <w:sz w:val="28"/>
          <w:szCs w:val="28"/>
          <w:lang w:val="uk-UA" w:eastAsia="uk-UA"/>
        </w:rPr>
        <w:t>The analysis of the feedback questionnaires shows positive feedback from the participants and helped to identify topical issues to improve the practical orientation of the Service's training.</w:t>
      </w:r>
    </w:p>
    <w:p w:rsidR="006A718F" w:rsidRPr="006A718F" w:rsidRDefault="006A718F" w:rsidP="006A718F">
      <w:pPr>
        <w:spacing w:before="100" w:beforeAutospacing="1" w:after="100" w:afterAutospacing="1"/>
        <w:jc w:val="both"/>
        <w:rPr>
          <w:rFonts w:ascii="Times New Roman" w:hAnsi="Times New Roman" w:cs="Times New Roman"/>
          <w:sz w:val="28"/>
          <w:szCs w:val="28"/>
          <w:lang w:val="uk-UA" w:eastAsia="uk-UA"/>
        </w:rPr>
      </w:pPr>
      <w:r w:rsidRPr="006A718F">
        <w:rPr>
          <w:rFonts w:ascii="Times New Roman" w:hAnsi="Times New Roman" w:cs="Times New Roman"/>
          <w:sz w:val="28"/>
          <w:szCs w:val="28"/>
          <w:lang w:val="uk-UA" w:eastAsia="uk-UA"/>
        </w:rPr>
        <w:t>The NSDC is actively developing new courses to meet the training needs of court security officers. In 2021, 3 trainings were developed, tested and implemented in the training process: ‘Building an Effective Team’, ’Ensuring Personal Safety of Judges and Their Family Members, Court Staff. Public Safety’ and “Professional Ethics of Judicial Protection Service Employees”.</w:t>
      </w:r>
    </w:p>
    <w:p w:rsidR="006A718F" w:rsidRPr="006A718F" w:rsidRDefault="006A718F" w:rsidP="006A718F">
      <w:pPr>
        <w:spacing w:before="100" w:beforeAutospacing="1" w:after="100" w:afterAutospacing="1"/>
        <w:jc w:val="both"/>
        <w:rPr>
          <w:rFonts w:ascii="Times New Roman" w:hAnsi="Times New Roman" w:cs="Times New Roman"/>
          <w:sz w:val="28"/>
          <w:szCs w:val="28"/>
          <w:lang w:val="uk-UA" w:eastAsia="uk-UA"/>
        </w:rPr>
      </w:pPr>
      <w:r w:rsidRPr="006A718F">
        <w:rPr>
          <w:rFonts w:ascii="Times New Roman" w:hAnsi="Times New Roman" w:cs="Times New Roman"/>
          <w:sz w:val="28"/>
          <w:szCs w:val="28"/>
          <w:lang w:val="uk-UA" w:eastAsia="uk-UA"/>
        </w:rPr>
        <w:t>These trainings were developed by judges, court staff, representatives of NGOs, employees of the Court Security Service and the National School of Judges.</w:t>
      </w:r>
    </w:p>
    <w:tbl>
      <w:tblPr>
        <w:tblStyle w:val="1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21"/>
        <w:gridCol w:w="4034"/>
      </w:tblGrid>
      <w:tr w:rsidR="001C6327" w:rsidRPr="009B4CC0" w:rsidTr="005E0C80">
        <w:tc>
          <w:tcPr>
            <w:tcW w:w="5321" w:type="dxa"/>
            <w:hideMark/>
          </w:tcPr>
          <w:p w:rsidR="001C6327" w:rsidRPr="006A718F" w:rsidRDefault="001C6327" w:rsidP="005E0C80">
            <w:pPr>
              <w:jc w:val="both"/>
              <w:rPr>
                <w:rFonts w:ascii="Times New Roman" w:eastAsia="Calibri" w:hAnsi="Times New Roman" w:cs="Times New Roman"/>
                <w:b/>
                <w:bCs/>
                <w:sz w:val="28"/>
                <w:szCs w:val="28"/>
                <w:lang w:val="uk-UA"/>
              </w:rPr>
            </w:pPr>
          </w:p>
        </w:tc>
        <w:tc>
          <w:tcPr>
            <w:tcW w:w="4034" w:type="dxa"/>
            <w:hideMark/>
          </w:tcPr>
          <w:p w:rsidR="001C6327" w:rsidRPr="006A718F" w:rsidRDefault="001C6327" w:rsidP="005E0C80">
            <w:pPr>
              <w:jc w:val="both"/>
              <w:rPr>
                <w:rFonts w:ascii="Times New Roman" w:eastAsia="Calibri" w:hAnsi="Times New Roman" w:cs="Times New Roman"/>
                <w:b/>
                <w:bCs/>
                <w:sz w:val="28"/>
                <w:szCs w:val="28"/>
                <w:lang w:val="uk-UA"/>
              </w:rPr>
            </w:pPr>
          </w:p>
        </w:tc>
      </w:tr>
    </w:tbl>
    <w:p w:rsidR="001C6327" w:rsidRPr="00136846" w:rsidRDefault="001C6327" w:rsidP="001C6327">
      <w:pPr>
        <w:ind w:firstLine="567"/>
        <w:rPr>
          <w:rFonts w:ascii="Times New Roman" w:eastAsia="Calibri" w:hAnsi="Times New Roman" w:cs="Times New Roman"/>
          <w:b/>
          <w:bCs/>
          <w:sz w:val="28"/>
          <w:szCs w:val="28"/>
          <w:lang w:val="uk-UA" w:eastAsia="ru-RU"/>
        </w:rPr>
      </w:pPr>
    </w:p>
    <w:p w:rsidR="001C6327" w:rsidRPr="00136846" w:rsidRDefault="001C6327" w:rsidP="001C6327">
      <w:pPr>
        <w:rPr>
          <w:lang w:val="uk-UA"/>
        </w:rPr>
      </w:pPr>
    </w:p>
    <w:p w:rsidR="00717BB6" w:rsidRDefault="00717BB6">
      <w:pPr>
        <w:spacing w:after="0"/>
        <w:rPr>
          <w:rFonts w:ascii="Times New Roman" w:eastAsia="Calibri" w:hAnsi="Times New Roman" w:cs="Times New Roman"/>
          <w:b/>
          <w:iCs/>
          <w:kern w:val="24"/>
          <w:position w:val="1"/>
          <w:sz w:val="28"/>
          <w:szCs w:val="28"/>
          <w:lang w:val="uk-UA" w:eastAsia="uk-UA"/>
        </w:rPr>
      </w:pPr>
    </w:p>
    <w:p w:rsidR="006A718F" w:rsidRPr="006A718F" w:rsidRDefault="006A718F" w:rsidP="006A718F">
      <w:pPr>
        <w:pStyle w:val="1"/>
        <w:jc w:val="center"/>
        <w:rPr>
          <w:rFonts w:ascii="Times New Roman" w:hAnsi="Times New Roman" w:cs="Times New Roman"/>
          <w:lang w:val="en-US" w:eastAsia="uk-UA"/>
        </w:rPr>
      </w:pPr>
      <w:r w:rsidRPr="006A718F">
        <w:rPr>
          <w:rFonts w:ascii="Times New Roman" w:hAnsi="Times New Roman" w:cs="Times New Roman"/>
          <w:lang w:val="en-US"/>
        </w:rPr>
        <w:lastRenderedPageBreak/>
        <w:t>V. TRAINING OF TEACHERS (TRAINERS)</w:t>
      </w:r>
    </w:p>
    <w:p w:rsidR="006A718F" w:rsidRPr="006A718F" w:rsidRDefault="006A718F" w:rsidP="006A718F">
      <w:pPr>
        <w:pStyle w:val="a7"/>
        <w:jc w:val="both"/>
        <w:rPr>
          <w:sz w:val="28"/>
          <w:szCs w:val="28"/>
        </w:rPr>
      </w:pPr>
      <w:r w:rsidRPr="006A718F">
        <w:rPr>
          <w:sz w:val="28"/>
          <w:szCs w:val="28"/>
        </w:rPr>
        <w:t>One of the priorities of the National School of Judges in the reporting period is to ensure that highly qualified personnel for the judiciary are trained at a high professional level and to strengthen public confidence in the judiciary.</w:t>
      </w:r>
    </w:p>
    <w:p w:rsidR="006A718F" w:rsidRPr="006A718F" w:rsidRDefault="006A718F" w:rsidP="006A718F">
      <w:pPr>
        <w:pStyle w:val="a7"/>
        <w:jc w:val="both"/>
        <w:rPr>
          <w:sz w:val="28"/>
          <w:szCs w:val="28"/>
        </w:rPr>
      </w:pPr>
      <w:r w:rsidRPr="006A718F">
        <w:rPr>
          <w:sz w:val="28"/>
          <w:szCs w:val="28"/>
        </w:rPr>
        <w:t xml:space="preserve">To this end, </w:t>
      </w:r>
      <w:r w:rsidRPr="006A718F">
        <w:rPr>
          <w:b/>
          <w:bCs/>
          <w:sz w:val="28"/>
          <w:szCs w:val="28"/>
        </w:rPr>
        <w:t xml:space="preserve">in 2021 </w:t>
      </w:r>
      <w:r w:rsidRPr="006A718F">
        <w:rPr>
          <w:sz w:val="28"/>
          <w:szCs w:val="28"/>
        </w:rPr>
        <w:t xml:space="preserve">, </w:t>
      </w:r>
      <w:r w:rsidRPr="006A718F">
        <w:rPr>
          <w:b/>
          <w:bCs/>
          <w:sz w:val="28"/>
          <w:szCs w:val="28"/>
        </w:rPr>
        <w:t xml:space="preserve">2 methodological trainings for teachers </w:t>
      </w:r>
      <w:r w:rsidRPr="006A718F">
        <w:rPr>
          <w:sz w:val="28"/>
          <w:szCs w:val="28"/>
        </w:rPr>
        <w:t>on the methodology of preparing and conducting trainings in the NJSU, as well as</w:t>
      </w:r>
      <w:r w:rsidRPr="006A718F">
        <w:rPr>
          <w:b/>
          <w:bCs/>
          <w:sz w:val="28"/>
          <w:szCs w:val="28"/>
        </w:rPr>
        <w:t xml:space="preserve"> 26 thematic trainings for trainers</w:t>
      </w:r>
      <w:r w:rsidRPr="006A718F">
        <w:rPr>
          <w:sz w:val="28"/>
          <w:szCs w:val="28"/>
        </w:rPr>
        <w:t xml:space="preserve"> </w:t>
      </w:r>
      <w:r w:rsidRPr="006A718F">
        <w:rPr>
          <w:b/>
          <w:bCs/>
          <w:sz w:val="28"/>
          <w:szCs w:val="28"/>
        </w:rPr>
        <w:t xml:space="preserve">were held </w:t>
      </w:r>
      <w:r w:rsidRPr="006A718F">
        <w:rPr>
          <w:sz w:val="28"/>
          <w:szCs w:val="28"/>
        </w:rPr>
        <w:t>in a distance format to train highly qualified academic staff.</w:t>
      </w:r>
    </w:p>
    <w:p w:rsidR="006A718F" w:rsidRPr="006A718F" w:rsidRDefault="006A718F" w:rsidP="006A718F">
      <w:pPr>
        <w:pStyle w:val="a7"/>
        <w:jc w:val="both"/>
        <w:rPr>
          <w:sz w:val="28"/>
          <w:szCs w:val="28"/>
        </w:rPr>
      </w:pPr>
      <w:r w:rsidRPr="006A718F">
        <w:rPr>
          <w:sz w:val="28"/>
          <w:szCs w:val="28"/>
        </w:rPr>
        <w:t>Taking into account the quarantine restrictions, the NSSU has directed its efforts to ensure the reformatting of all developed courses for their delivery in distance learning and online formats, conducting webinars, online trainings for trainers and introducing modern teaching tools and forms.</w:t>
      </w:r>
    </w:p>
    <w:p w:rsidR="006A718F" w:rsidRPr="006A718F" w:rsidRDefault="006A718F" w:rsidP="006A718F">
      <w:pPr>
        <w:pStyle w:val="a7"/>
        <w:jc w:val="both"/>
        <w:rPr>
          <w:sz w:val="28"/>
          <w:szCs w:val="28"/>
        </w:rPr>
      </w:pPr>
      <w:r w:rsidRPr="006A718F">
        <w:rPr>
          <w:sz w:val="28"/>
          <w:szCs w:val="28"/>
        </w:rPr>
        <w:t>Regular online meetings with lecturers are held, as a result of which judges have mastered modern tools for conducting online events, which has enabled lecturers to use all the possibilities of online technologies to train judges at a high and professional level.</w:t>
      </w:r>
    </w:p>
    <w:p w:rsidR="006A718F" w:rsidRPr="006A718F" w:rsidRDefault="006A718F" w:rsidP="006A718F">
      <w:pPr>
        <w:pStyle w:val="a7"/>
        <w:jc w:val="both"/>
        <w:rPr>
          <w:sz w:val="28"/>
          <w:szCs w:val="28"/>
        </w:rPr>
      </w:pPr>
      <w:r w:rsidRPr="006A718F">
        <w:rPr>
          <w:sz w:val="28"/>
          <w:szCs w:val="28"/>
        </w:rPr>
        <w:t>The National School of Judges uses the academic resources of seconded judges to develop training courses, engage them in teaching training courses for judges and court staff, record video lectures, conduct webinars for judges, and send them on secondment to participate in scientific and practical events to improve their personal professional competencies.</w:t>
      </w:r>
    </w:p>
    <w:p w:rsidR="006A718F" w:rsidRPr="006A718F" w:rsidRDefault="006A718F" w:rsidP="006A718F">
      <w:pPr>
        <w:pStyle w:val="a7"/>
        <w:jc w:val="both"/>
        <w:rPr>
          <w:sz w:val="28"/>
          <w:szCs w:val="28"/>
        </w:rPr>
      </w:pPr>
      <w:r w:rsidRPr="006A718F">
        <w:rPr>
          <w:sz w:val="28"/>
          <w:szCs w:val="28"/>
        </w:rPr>
        <w:t>There is ongoing work to develop new and improve previously created training courses for judges, distance learning courses, training for special training of candidates for the position of judge, etc.</w:t>
      </w:r>
    </w:p>
    <w:p w:rsidR="006A718F" w:rsidRPr="006A718F" w:rsidRDefault="006A718F" w:rsidP="006A718F">
      <w:pPr>
        <w:pStyle w:val="a7"/>
        <w:jc w:val="both"/>
        <w:rPr>
          <w:sz w:val="28"/>
          <w:szCs w:val="28"/>
        </w:rPr>
      </w:pPr>
      <w:r w:rsidRPr="006A718F">
        <w:rPr>
          <w:sz w:val="28"/>
          <w:szCs w:val="28"/>
        </w:rPr>
        <w:t>In accordance with part six of Article 54 of the Law of Ukraine ‘On the Judiciary and the Status of Judges’, in 2021, 10 judges were seconded to the Department of Training of Teachers (Trainers). Under the guidance of the judicial coordinators, judges are actively involved in the development of training materials for the preparation and periodic training of candidates for the position of judge, judges in the form of distance courses, trainings, standardised lectures, seminars and workshops, which are included in the Plan of Research and Methodological Work of the National School of Judges of Ukraine for 2021 and are involved in teaching for judges, court staff, and employees of the Judicial Protection Service. Given that the main task of the National School of Judges during the COVID-19 quarantine period is to switch from full-time to distance learning without losing the quality of materials, seconded judges as part of development teams adapt training materials to online teaching and create new ones. The Department for Training of Lecturers (Trainers) coordinates the work of seconded judges. The seconded judges were from among the judges without powers.</w:t>
      </w:r>
    </w:p>
    <w:p w:rsidR="006A718F" w:rsidRPr="006A718F" w:rsidRDefault="006A718F" w:rsidP="006A718F">
      <w:pPr>
        <w:pStyle w:val="a7"/>
        <w:spacing w:before="0" w:beforeAutospacing="0" w:after="0" w:afterAutospacing="0"/>
        <w:jc w:val="center"/>
        <w:rPr>
          <w:sz w:val="28"/>
          <w:szCs w:val="28"/>
        </w:rPr>
      </w:pPr>
      <w:r w:rsidRPr="006A718F">
        <w:rPr>
          <w:b/>
          <w:bCs/>
          <w:sz w:val="28"/>
          <w:szCs w:val="28"/>
        </w:rPr>
        <w:lastRenderedPageBreak/>
        <w:t>VI.</w:t>
      </w:r>
      <w:r w:rsidRPr="006A718F">
        <w:rPr>
          <w:sz w:val="28"/>
          <w:szCs w:val="28"/>
        </w:rPr>
        <w:t xml:space="preserve"> </w:t>
      </w:r>
      <w:r w:rsidRPr="006A718F">
        <w:rPr>
          <w:b/>
          <w:bCs/>
          <w:sz w:val="28"/>
          <w:szCs w:val="28"/>
        </w:rPr>
        <w:t>RESEARCH AND METHODOLOGICAL ACTIVITIES</w:t>
      </w:r>
    </w:p>
    <w:p w:rsidR="006A718F" w:rsidRDefault="006A718F" w:rsidP="006A718F">
      <w:pPr>
        <w:pStyle w:val="1"/>
        <w:spacing w:before="0"/>
        <w:jc w:val="center"/>
        <w:rPr>
          <w:rFonts w:ascii="Times New Roman" w:hAnsi="Times New Roman" w:cs="Times New Roman"/>
          <w:lang w:val="en-US"/>
        </w:rPr>
      </w:pPr>
      <w:r w:rsidRPr="006A718F">
        <w:rPr>
          <w:rFonts w:ascii="Times New Roman" w:hAnsi="Times New Roman" w:cs="Times New Roman"/>
          <w:lang w:val="en-US"/>
        </w:rPr>
        <w:t>COURSES FOR JUDGES</w:t>
      </w:r>
    </w:p>
    <w:p w:rsidR="006A718F" w:rsidRPr="006A718F" w:rsidRDefault="006A718F" w:rsidP="006A718F">
      <w:pPr>
        <w:rPr>
          <w:lang w:val="en-US"/>
        </w:rPr>
      </w:pPr>
    </w:p>
    <w:p w:rsidR="006A718F" w:rsidRPr="00ED15D4" w:rsidRDefault="006A718F" w:rsidP="006A718F">
      <w:pPr>
        <w:pStyle w:val="a7"/>
        <w:rPr>
          <w:sz w:val="28"/>
          <w:szCs w:val="28"/>
        </w:rPr>
      </w:pPr>
      <w:r w:rsidRPr="00ED15D4">
        <w:rPr>
          <w:sz w:val="28"/>
          <w:szCs w:val="28"/>
        </w:rPr>
        <w:t xml:space="preserve">In 2021, the research departments continued to </w:t>
      </w:r>
      <w:r w:rsidRPr="00ED15D4">
        <w:rPr>
          <w:b/>
          <w:bCs/>
          <w:sz w:val="28"/>
          <w:szCs w:val="28"/>
        </w:rPr>
        <w:t>develop, update and adapt training courses.</w:t>
      </w:r>
      <w:r w:rsidRPr="00ED15D4">
        <w:rPr>
          <w:sz w:val="28"/>
          <w:szCs w:val="28"/>
        </w:rPr>
        <w:t xml:space="preserve"> </w:t>
      </w:r>
      <w:r w:rsidRPr="00ED15D4">
        <w:rPr>
          <w:b/>
          <w:bCs/>
          <w:sz w:val="28"/>
          <w:szCs w:val="28"/>
        </w:rPr>
        <w:t>They also conducted their testing and trainings for trainers.</w:t>
      </w:r>
    </w:p>
    <w:p w:rsidR="006A718F" w:rsidRPr="00ED15D4" w:rsidRDefault="006A718F" w:rsidP="006A718F">
      <w:pPr>
        <w:pStyle w:val="a7"/>
        <w:rPr>
          <w:sz w:val="28"/>
          <w:szCs w:val="28"/>
        </w:rPr>
      </w:pPr>
      <w:r w:rsidRPr="00ED15D4">
        <w:rPr>
          <w:sz w:val="28"/>
          <w:szCs w:val="28"/>
        </w:rPr>
        <w:t xml:space="preserve">During the reporting period, 15 trainings </w:t>
      </w:r>
      <w:r w:rsidRPr="00ED15D4">
        <w:rPr>
          <w:b/>
          <w:bCs/>
          <w:sz w:val="28"/>
          <w:szCs w:val="28"/>
          <w:u w:val="single"/>
        </w:rPr>
        <w:t>were</w:t>
      </w:r>
      <w:r w:rsidRPr="00ED15D4">
        <w:rPr>
          <w:sz w:val="28"/>
          <w:szCs w:val="28"/>
        </w:rPr>
        <w:t xml:space="preserve"> developed </w:t>
      </w:r>
      <w:r w:rsidRPr="00ED15D4">
        <w:rPr>
          <w:b/>
          <w:bCs/>
          <w:sz w:val="28"/>
          <w:szCs w:val="28"/>
          <w:u w:val="single"/>
        </w:rPr>
        <w:t>for judges</w:t>
      </w:r>
    </w:p>
    <w:p w:rsidR="006A718F" w:rsidRPr="00ED15D4" w:rsidRDefault="006A718F" w:rsidP="006A718F">
      <w:pPr>
        <w:pStyle w:val="2"/>
        <w:rPr>
          <w:rFonts w:ascii="Times New Roman" w:hAnsi="Times New Roman" w:cs="Times New Roman"/>
          <w:sz w:val="28"/>
          <w:szCs w:val="28"/>
          <w:lang w:val="en-US"/>
        </w:rPr>
      </w:pPr>
      <w:r w:rsidRPr="00ED15D4">
        <w:rPr>
          <w:rFonts w:ascii="Times New Roman" w:hAnsi="Times New Roman" w:cs="Times New Roman"/>
          <w:sz w:val="28"/>
          <w:szCs w:val="28"/>
          <w:lang w:val="en-US"/>
        </w:rPr>
        <w:t>15 trainings were developed for judges, namely:</w:t>
      </w:r>
    </w:p>
    <w:p w:rsidR="006A718F" w:rsidRPr="00ED15D4" w:rsidRDefault="006A718F" w:rsidP="00847DB5">
      <w:pPr>
        <w:pStyle w:val="a7"/>
        <w:numPr>
          <w:ilvl w:val="0"/>
          <w:numId w:val="8"/>
        </w:numPr>
        <w:rPr>
          <w:sz w:val="28"/>
          <w:szCs w:val="28"/>
        </w:rPr>
      </w:pPr>
      <w:r w:rsidRPr="00ED15D4">
        <w:rPr>
          <w:sz w:val="28"/>
          <w:szCs w:val="28"/>
        </w:rPr>
        <w:t>Countering Terrorist Financing: Judicial Aspect’;</w:t>
      </w:r>
    </w:p>
    <w:p w:rsidR="006A718F" w:rsidRPr="00ED15D4" w:rsidRDefault="006A718F" w:rsidP="00847DB5">
      <w:pPr>
        <w:pStyle w:val="a7"/>
        <w:numPr>
          <w:ilvl w:val="0"/>
          <w:numId w:val="8"/>
        </w:numPr>
        <w:rPr>
          <w:sz w:val="28"/>
          <w:szCs w:val="28"/>
        </w:rPr>
      </w:pPr>
      <w:r w:rsidRPr="00ED15D4">
        <w:rPr>
          <w:sz w:val="28"/>
          <w:szCs w:val="28"/>
        </w:rPr>
        <w:t>The right to information and information with restricted access’;</w:t>
      </w:r>
    </w:p>
    <w:p w:rsidR="006A718F" w:rsidRPr="00ED15D4" w:rsidRDefault="006A718F" w:rsidP="00847DB5">
      <w:pPr>
        <w:pStyle w:val="a7"/>
        <w:numPr>
          <w:ilvl w:val="0"/>
          <w:numId w:val="8"/>
        </w:numPr>
        <w:rPr>
          <w:sz w:val="28"/>
          <w:szCs w:val="28"/>
        </w:rPr>
      </w:pPr>
      <w:r w:rsidRPr="00ED15D4">
        <w:rPr>
          <w:sz w:val="28"/>
          <w:szCs w:val="28"/>
        </w:rPr>
        <w:t>Peculiarities of application of special confiscation by the courts of Ukraine’;</w:t>
      </w:r>
    </w:p>
    <w:p w:rsidR="006A718F" w:rsidRPr="00ED15D4" w:rsidRDefault="006A718F" w:rsidP="00847DB5">
      <w:pPr>
        <w:pStyle w:val="a7"/>
        <w:numPr>
          <w:ilvl w:val="0"/>
          <w:numId w:val="8"/>
        </w:numPr>
        <w:rPr>
          <w:sz w:val="28"/>
          <w:szCs w:val="28"/>
        </w:rPr>
      </w:pPr>
      <w:r w:rsidRPr="00ED15D4">
        <w:rPr>
          <w:sz w:val="28"/>
          <w:szCs w:val="28"/>
        </w:rPr>
        <w:t>Probation in criminal proceedings;</w:t>
      </w:r>
    </w:p>
    <w:p w:rsidR="006A718F" w:rsidRPr="00ED15D4" w:rsidRDefault="006A718F" w:rsidP="00847DB5">
      <w:pPr>
        <w:pStyle w:val="a7"/>
        <w:numPr>
          <w:ilvl w:val="0"/>
          <w:numId w:val="8"/>
        </w:numPr>
        <w:rPr>
          <w:sz w:val="28"/>
          <w:szCs w:val="28"/>
        </w:rPr>
      </w:pPr>
      <w:r w:rsidRPr="00ED15D4">
        <w:rPr>
          <w:sz w:val="28"/>
          <w:szCs w:val="28"/>
        </w:rPr>
        <w:t>Judicial control over the exercise of discretionary powers by administrative authorities;</w:t>
      </w:r>
    </w:p>
    <w:p w:rsidR="006A718F" w:rsidRPr="00ED15D4" w:rsidRDefault="006A718F" w:rsidP="00847DB5">
      <w:pPr>
        <w:pStyle w:val="a7"/>
        <w:numPr>
          <w:ilvl w:val="0"/>
          <w:numId w:val="8"/>
        </w:numPr>
        <w:rPr>
          <w:sz w:val="28"/>
          <w:szCs w:val="28"/>
        </w:rPr>
      </w:pPr>
      <w:r w:rsidRPr="00ED15D4">
        <w:rPr>
          <w:sz w:val="28"/>
          <w:szCs w:val="28"/>
        </w:rPr>
        <w:t>Consideration of criminal proceedings related to domestic violence;</w:t>
      </w:r>
    </w:p>
    <w:p w:rsidR="006A718F" w:rsidRPr="00ED15D4" w:rsidRDefault="006A718F" w:rsidP="00847DB5">
      <w:pPr>
        <w:pStyle w:val="a7"/>
        <w:numPr>
          <w:ilvl w:val="0"/>
          <w:numId w:val="8"/>
        </w:numPr>
        <w:rPr>
          <w:sz w:val="28"/>
          <w:szCs w:val="28"/>
        </w:rPr>
      </w:pPr>
      <w:r w:rsidRPr="00ED15D4">
        <w:rPr>
          <w:sz w:val="28"/>
          <w:szCs w:val="28"/>
        </w:rPr>
        <w:t>Consideration of disputes over transactions in commercial proceedings: topical issues of law enforcement’;</w:t>
      </w:r>
    </w:p>
    <w:p w:rsidR="006A718F" w:rsidRPr="00ED15D4" w:rsidRDefault="006A718F" w:rsidP="00847DB5">
      <w:pPr>
        <w:pStyle w:val="a7"/>
        <w:numPr>
          <w:ilvl w:val="0"/>
          <w:numId w:val="8"/>
        </w:numPr>
        <w:rPr>
          <w:sz w:val="28"/>
          <w:szCs w:val="28"/>
        </w:rPr>
      </w:pPr>
      <w:r w:rsidRPr="00ED15D4">
        <w:rPr>
          <w:sz w:val="28"/>
          <w:szCs w:val="28"/>
        </w:rPr>
        <w:t>Consumer protection: current issues of law enforcement and court practice’;</w:t>
      </w:r>
    </w:p>
    <w:p w:rsidR="006A718F" w:rsidRPr="00ED15D4" w:rsidRDefault="006A718F" w:rsidP="00847DB5">
      <w:pPr>
        <w:pStyle w:val="a7"/>
        <w:numPr>
          <w:ilvl w:val="0"/>
          <w:numId w:val="8"/>
        </w:numPr>
        <w:rPr>
          <w:sz w:val="28"/>
          <w:szCs w:val="28"/>
        </w:rPr>
      </w:pPr>
      <w:r w:rsidRPr="00ED15D4">
        <w:rPr>
          <w:sz w:val="28"/>
          <w:szCs w:val="28"/>
        </w:rPr>
        <w:t>Practice of consideration by commercial courts of court disputes arising from credit legal relations’;</w:t>
      </w:r>
    </w:p>
    <w:p w:rsidR="006A718F" w:rsidRPr="00ED15D4" w:rsidRDefault="006A718F" w:rsidP="00847DB5">
      <w:pPr>
        <w:pStyle w:val="a7"/>
        <w:numPr>
          <w:ilvl w:val="0"/>
          <w:numId w:val="8"/>
        </w:numPr>
        <w:rPr>
          <w:sz w:val="28"/>
          <w:szCs w:val="28"/>
        </w:rPr>
      </w:pPr>
      <w:r w:rsidRPr="00ED15D4">
        <w:rPr>
          <w:sz w:val="28"/>
          <w:szCs w:val="28"/>
        </w:rPr>
        <w:t>Administrative liability for corruption-related offences;</w:t>
      </w:r>
    </w:p>
    <w:p w:rsidR="006A718F" w:rsidRPr="00ED15D4" w:rsidRDefault="006A718F" w:rsidP="00847DB5">
      <w:pPr>
        <w:pStyle w:val="a7"/>
        <w:numPr>
          <w:ilvl w:val="0"/>
          <w:numId w:val="8"/>
        </w:numPr>
        <w:rPr>
          <w:sz w:val="28"/>
          <w:szCs w:val="28"/>
        </w:rPr>
      </w:pPr>
      <w:r w:rsidRPr="00ED15D4">
        <w:rPr>
          <w:sz w:val="28"/>
          <w:szCs w:val="28"/>
        </w:rPr>
        <w:t>Administrative liability for violation of customs regulations;</w:t>
      </w:r>
    </w:p>
    <w:p w:rsidR="006A718F" w:rsidRPr="00ED15D4" w:rsidRDefault="006A718F" w:rsidP="00847DB5">
      <w:pPr>
        <w:pStyle w:val="a7"/>
        <w:numPr>
          <w:ilvl w:val="0"/>
          <w:numId w:val="8"/>
        </w:numPr>
        <w:rPr>
          <w:sz w:val="28"/>
          <w:szCs w:val="28"/>
        </w:rPr>
      </w:pPr>
      <w:r w:rsidRPr="00ED15D4">
        <w:rPr>
          <w:sz w:val="28"/>
          <w:szCs w:val="28"/>
        </w:rPr>
        <w:t>Problematic issues of compensation for damages in civil proceedings’;</w:t>
      </w:r>
    </w:p>
    <w:p w:rsidR="006A718F" w:rsidRPr="00ED15D4" w:rsidRDefault="006A718F" w:rsidP="00847DB5">
      <w:pPr>
        <w:pStyle w:val="a7"/>
        <w:numPr>
          <w:ilvl w:val="0"/>
          <w:numId w:val="8"/>
        </w:numPr>
        <w:rPr>
          <w:sz w:val="28"/>
          <w:szCs w:val="28"/>
        </w:rPr>
      </w:pPr>
      <w:r w:rsidRPr="00ED15D4">
        <w:rPr>
          <w:sz w:val="28"/>
          <w:szCs w:val="28"/>
        </w:rPr>
        <w:t>Procedural term as a component of the principle of legal certainty’;</w:t>
      </w:r>
    </w:p>
    <w:p w:rsidR="006A718F" w:rsidRPr="00ED15D4" w:rsidRDefault="006A718F" w:rsidP="00847DB5">
      <w:pPr>
        <w:pStyle w:val="a7"/>
        <w:numPr>
          <w:ilvl w:val="0"/>
          <w:numId w:val="8"/>
        </w:numPr>
        <w:rPr>
          <w:sz w:val="28"/>
          <w:szCs w:val="28"/>
        </w:rPr>
      </w:pPr>
      <w:r w:rsidRPr="00ED15D4">
        <w:rPr>
          <w:sz w:val="28"/>
          <w:szCs w:val="28"/>
        </w:rPr>
        <w:t>Application of preventive measures in the activities of the investigating judge’;</w:t>
      </w:r>
    </w:p>
    <w:p w:rsidR="006A718F" w:rsidRPr="00ED15D4" w:rsidRDefault="006A718F" w:rsidP="00847DB5">
      <w:pPr>
        <w:pStyle w:val="a7"/>
        <w:numPr>
          <w:ilvl w:val="0"/>
          <w:numId w:val="8"/>
        </w:numPr>
        <w:rPr>
          <w:sz w:val="28"/>
          <w:szCs w:val="28"/>
        </w:rPr>
      </w:pPr>
      <w:r w:rsidRPr="00ED15D4">
        <w:rPr>
          <w:sz w:val="28"/>
          <w:szCs w:val="28"/>
        </w:rPr>
        <w:t>Consideration of cases on family disputes’.</w:t>
      </w:r>
    </w:p>
    <w:p w:rsidR="006A718F" w:rsidRPr="00ED15D4" w:rsidRDefault="006A718F" w:rsidP="006A718F">
      <w:pPr>
        <w:pStyle w:val="2"/>
        <w:rPr>
          <w:rFonts w:ascii="Times New Roman" w:hAnsi="Times New Roman" w:cs="Times New Roman"/>
          <w:sz w:val="28"/>
          <w:szCs w:val="28"/>
          <w:lang w:val="en-US"/>
        </w:rPr>
      </w:pPr>
      <w:r w:rsidRPr="00ED15D4">
        <w:rPr>
          <w:rFonts w:ascii="Times New Roman" w:hAnsi="Times New Roman" w:cs="Times New Roman"/>
          <w:sz w:val="28"/>
          <w:szCs w:val="28"/>
          <w:lang w:val="en-US"/>
        </w:rPr>
        <w:t>Three trainings are in the process of development, namely:</w:t>
      </w:r>
    </w:p>
    <w:p w:rsidR="006A718F" w:rsidRPr="00ED15D4" w:rsidRDefault="006A718F" w:rsidP="00847DB5">
      <w:pPr>
        <w:pStyle w:val="a7"/>
        <w:numPr>
          <w:ilvl w:val="0"/>
          <w:numId w:val="9"/>
        </w:numPr>
        <w:rPr>
          <w:sz w:val="28"/>
          <w:szCs w:val="28"/>
        </w:rPr>
      </w:pPr>
      <w:r w:rsidRPr="00ED15D4">
        <w:rPr>
          <w:sz w:val="28"/>
          <w:szCs w:val="28"/>
        </w:rPr>
        <w:t>Consideration by courts of criminal proceedings on crimes against life’;</w:t>
      </w:r>
    </w:p>
    <w:p w:rsidR="006A718F" w:rsidRPr="00ED15D4" w:rsidRDefault="006A718F" w:rsidP="00847DB5">
      <w:pPr>
        <w:pStyle w:val="a7"/>
        <w:numPr>
          <w:ilvl w:val="0"/>
          <w:numId w:val="9"/>
        </w:numPr>
        <w:rPr>
          <w:sz w:val="28"/>
          <w:szCs w:val="28"/>
        </w:rPr>
      </w:pPr>
      <w:r w:rsidRPr="00ED15D4">
        <w:rPr>
          <w:sz w:val="28"/>
          <w:szCs w:val="28"/>
        </w:rPr>
        <w:t>‘Resolving disputes over violations of political finance rules’;</w:t>
      </w:r>
    </w:p>
    <w:p w:rsidR="006A718F" w:rsidRPr="00ED15D4" w:rsidRDefault="006A718F" w:rsidP="00847DB5">
      <w:pPr>
        <w:pStyle w:val="a7"/>
        <w:numPr>
          <w:ilvl w:val="0"/>
          <w:numId w:val="9"/>
        </w:numPr>
        <w:rPr>
          <w:sz w:val="28"/>
          <w:szCs w:val="28"/>
        </w:rPr>
      </w:pPr>
      <w:r w:rsidRPr="00ED15D4">
        <w:rPr>
          <w:sz w:val="28"/>
          <w:szCs w:val="28"/>
        </w:rPr>
        <w:t>‘Application of the principle of legal certainty in administrative proceedings’.</w:t>
      </w:r>
    </w:p>
    <w:p w:rsidR="00F90299" w:rsidRPr="00E02193" w:rsidRDefault="00F90299" w:rsidP="00F90299">
      <w:pPr>
        <w:pStyle w:val="a5"/>
        <w:spacing w:after="0" w:line="240" w:lineRule="auto"/>
        <w:ind w:left="1353"/>
        <w:rPr>
          <w:rFonts w:ascii="Times New Roman" w:hAnsi="Times New Roman"/>
          <w:sz w:val="28"/>
          <w:szCs w:val="28"/>
        </w:rPr>
      </w:pPr>
    </w:p>
    <w:p w:rsidR="00447964" w:rsidRPr="00447964" w:rsidRDefault="00447964" w:rsidP="00447964">
      <w:pPr>
        <w:pStyle w:val="2"/>
        <w:rPr>
          <w:rFonts w:ascii="Times New Roman" w:hAnsi="Times New Roman" w:cs="Times New Roman"/>
          <w:sz w:val="28"/>
          <w:szCs w:val="28"/>
          <w:lang w:val="en-US" w:eastAsia="uk-UA"/>
        </w:rPr>
      </w:pPr>
      <w:r w:rsidRPr="00447964">
        <w:rPr>
          <w:rFonts w:ascii="Times New Roman" w:hAnsi="Times New Roman" w:cs="Times New Roman"/>
          <w:sz w:val="28"/>
          <w:szCs w:val="28"/>
          <w:lang w:val="en-US"/>
        </w:rPr>
        <w:lastRenderedPageBreak/>
        <w:t>We tested 16 courses:</w:t>
      </w:r>
    </w:p>
    <w:p w:rsidR="00447964" w:rsidRPr="00447964" w:rsidRDefault="00F90299" w:rsidP="00847DB5">
      <w:pPr>
        <w:pStyle w:val="a7"/>
        <w:numPr>
          <w:ilvl w:val="0"/>
          <w:numId w:val="10"/>
        </w:numPr>
        <w:rPr>
          <w:sz w:val="28"/>
          <w:szCs w:val="28"/>
        </w:rPr>
      </w:pPr>
      <w:r w:rsidRPr="00BB32DA">
        <w:rPr>
          <w:noProof/>
          <w:sz w:val="28"/>
          <w:szCs w:val="28"/>
        </w:rPr>
        <w:drawing>
          <wp:anchor distT="0" distB="0" distL="114300" distR="114300" simplePos="0" relativeHeight="251705344" behindDoc="1" locked="0" layoutInCell="1" allowOverlap="1">
            <wp:simplePos x="0" y="0"/>
            <wp:positionH relativeFrom="margin">
              <wp:posOffset>2931160</wp:posOffset>
            </wp:positionH>
            <wp:positionV relativeFrom="paragraph">
              <wp:posOffset>28575</wp:posOffset>
            </wp:positionV>
            <wp:extent cx="3177540" cy="1924050"/>
            <wp:effectExtent l="0" t="0" r="3810" b="0"/>
            <wp:wrapTight wrapText="bothSides">
              <wp:wrapPolygon edited="0">
                <wp:start x="0" y="0"/>
                <wp:lineTo x="0" y="21386"/>
                <wp:lineTo x="21496" y="21386"/>
                <wp:lineTo x="21496" y="0"/>
                <wp:lineTo x="0" y="0"/>
              </wp:wrapPolygon>
            </wp:wrapTight>
            <wp:docPr id="14" name="Рисунок 14" descr="C:\Users\fedorchenkonya\Downloads\p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edorchenkonya\Downloads\pv2.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177540" cy="1924050"/>
                    </a:xfrm>
                    <a:prstGeom prst="rect">
                      <a:avLst/>
                    </a:prstGeom>
                    <a:noFill/>
                    <a:ln>
                      <a:noFill/>
                    </a:ln>
                  </pic:spPr>
                </pic:pic>
              </a:graphicData>
            </a:graphic>
          </wp:anchor>
        </w:drawing>
      </w:r>
      <w:r w:rsidRPr="00E02193">
        <w:rPr>
          <w:bCs/>
          <w:sz w:val="28"/>
          <w:szCs w:val="28"/>
          <w:lang w:eastAsia="ru-RU"/>
        </w:rPr>
        <w:t>“</w:t>
      </w:r>
      <w:r w:rsidR="00447964" w:rsidRPr="00447964">
        <w:t xml:space="preserve"> </w:t>
      </w:r>
      <w:r w:rsidR="00447964" w:rsidRPr="00447964">
        <w:rPr>
          <w:sz w:val="28"/>
          <w:szCs w:val="28"/>
        </w:rPr>
        <w:t>Psychological peculiarities of communication with participants of the trial who have experience of psychotraumatic impact;</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Judicial control over the exercise of discretionary powers by administrative authorities;</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Consideration of cases on family disputes;</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Consideration of criminal proceedings related to domestic violence;</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Probation in criminal proceedings;</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‘Countering the Financing of Terrorism: Judicial Aspect’;</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‘The right to information and information with limited access’;</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‘Consumer protection: current issues of law enforcement and judicial practice’;</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Administrative liability for corruption-related offences;</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‘Practice of consideration by commercial courts of court disputes arising from credit legal relations’;</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‘Problematic issues of compensation for damages in civil proceedings’;</w:t>
      </w:r>
    </w:p>
    <w:p w:rsidR="00447964" w:rsidRPr="00447964" w:rsidRDefault="00447964" w:rsidP="00847DB5">
      <w:pPr>
        <w:pStyle w:val="a5"/>
        <w:numPr>
          <w:ilvl w:val="0"/>
          <w:numId w:val="10"/>
        </w:numPr>
        <w:spacing w:before="100" w:beforeAutospacing="1" w:after="100" w:afterAutospacing="1"/>
        <w:rPr>
          <w:rFonts w:ascii="Times New Roman" w:hAnsi="Times New Roman"/>
          <w:sz w:val="28"/>
          <w:szCs w:val="28"/>
          <w:lang w:eastAsia="uk-UA"/>
        </w:rPr>
      </w:pPr>
      <w:r w:rsidRPr="00447964">
        <w:rPr>
          <w:rFonts w:ascii="Times New Roman" w:hAnsi="Times New Roman"/>
          <w:sz w:val="28"/>
          <w:szCs w:val="28"/>
          <w:lang w:eastAsia="uk-UA"/>
        </w:rPr>
        <w:t>‘Procedural term as a component of the principle of legal certainty’;</w:t>
      </w:r>
    </w:p>
    <w:p w:rsidR="00447964" w:rsidRPr="00A83FDF" w:rsidRDefault="00447964" w:rsidP="00847DB5">
      <w:pPr>
        <w:pStyle w:val="a5"/>
        <w:numPr>
          <w:ilvl w:val="0"/>
          <w:numId w:val="11"/>
        </w:numPr>
        <w:spacing w:before="100" w:beforeAutospacing="1" w:after="100" w:afterAutospacing="1"/>
        <w:rPr>
          <w:rFonts w:ascii="Times New Roman" w:hAnsi="Times New Roman"/>
          <w:sz w:val="28"/>
          <w:szCs w:val="28"/>
          <w:lang w:eastAsia="uk-UA"/>
        </w:rPr>
      </w:pPr>
      <w:r w:rsidRPr="00A83FDF">
        <w:rPr>
          <w:rFonts w:ascii="Times New Roman" w:hAnsi="Times New Roman"/>
          <w:sz w:val="28"/>
          <w:szCs w:val="28"/>
          <w:lang w:eastAsia="uk-UA"/>
        </w:rPr>
        <w:t>Strengthening the system of protection of children in conflict with the law;</w:t>
      </w:r>
    </w:p>
    <w:p w:rsidR="00874BD0" w:rsidRPr="00874BD0" w:rsidRDefault="00F90299" w:rsidP="00847DB5">
      <w:pPr>
        <w:pStyle w:val="a7"/>
        <w:numPr>
          <w:ilvl w:val="0"/>
          <w:numId w:val="12"/>
        </w:numPr>
        <w:rPr>
          <w:sz w:val="28"/>
          <w:szCs w:val="28"/>
        </w:rPr>
      </w:pPr>
      <w:r w:rsidRPr="00E02193">
        <w:rPr>
          <w:bCs/>
          <w:sz w:val="28"/>
          <w:szCs w:val="28"/>
          <w:lang w:eastAsia="ru-RU"/>
        </w:rPr>
        <w:t>“</w:t>
      </w:r>
      <w:r w:rsidR="00874BD0" w:rsidRPr="00874BD0">
        <w:rPr>
          <w:sz w:val="28"/>
          <w:szCs w:val="28"/>
        </w:rPr>
        <w:t>Administrative liability for violation of customs regulations;</w:t>
      </w:r>
    </w:p>
    <w:p w:rsidR="00874BD0" w:rsidRPr="00874BD0" w:rsidRDefault="00874BD0" w:rsidP="00847DB5">
      <w:pPr>
        <w:pStyle w:val="a5"/>
        <w:numPr>
          <w:ilvl w:val="0"/>
          <w:numId w:val="12"/>
        </w:numPr>
        <w:spacing w:before="100" w:beforeAutospacing="1" w:after="100" w:afterAutospacing="1"/>
        <w:rPr>
          <w:rFonts w:ascii="Times New Roman" w:hAnsi="Times New Roman"/>
          <w:sz w:val="28"/>
          <w:szCs w:val="28"/>
          <w:lang w:eastAsia="uk-UA"/>
        </w:rPr>
      </w:pPr>
      <w:r w:rsidRPr="00874BD0">
        <w:rPr>
          <w:rFonts w:ascii="Times New Roman" w:hAnsi="Times New Roman"/>
          <w:sz w:val="28"/>
          <w:szCs w:val="28"/>
          <w:lang w:eastAsia="uk-UA"/>
        </w:rPr>
        <w:t>Consideration of disputes over transactions in commercial proceedings: current issues of law enforcement;</w:t>
      </w:r>
    </w:p>
    <w:p w:rsidR="00874BD0" w:rsidRPr="00874BD0" w:rsidRDefault="00874BD0" w:rsidP="00847DB5">
      <w:pPr>
        <w:pStyle w:val="a5"/>
        <w:numPr>
          <w:ilvl w:val="0"/>
          <w:numId w:val="12"/>
        </w:numPr>
        <w:spacing w:before="100" w:beforeAutospacing="1" w:after="100" w:afterAutospacing="1"/>
        <w:rPr>
          <w:rFonts w:ascii="Times New Roman" w:hAnsi="Times New Roman"/>
          <w:sz w:val="28"/>
          <w:szCs w:val="28"/>
          <w:lang w:eastAsia="uk-UA"/>
        </w:rPr>
      </w:pPr>
      <w:r w:rsidRPr="00874BD0">
        <w:rPr>
          <w:rFonts w:ascii="Times New Roman" w:hAnsi="Times New Roman"/>
          <w:sz w:val="28"/>
          <w:szCs w:val="28"/>
          <w:lang w:eastAsia="uk-UA"/>
        </w:rPr>
        <w:t>Peculiarities of application of special confiscation by the courts of Ukraine.</w:t>
      </w:r>
    </w:p>
    <w:p w:rsidR="00EE7A38" w:rsidRPr="00E02193" w:rsidRDefault="00EE7A38" w:rsidP="00874BD0">
      <w:pPr>
        <w:pStyle w:val="a5"/>
        <w:spacing w:after="0" w:line="240" w:lineRule="auto"/>
        <w:ind w:left="360"/>
        <w:jc w:val="both"/>
        <w:rPr>
          <w:rFonts w:ascii="Times New Roman" w:eastAsia="Times New Roman" w:hAnsi="Times New Roman"/>
          <w:bCs/>
          <w:sz w:val="28"/>
          <w:szCs w:val="28"/>
          <w:lang w:eastAsia="ru-RU"/>
        </w:rPr>
      </w:pPr>
    </w:p>
    <w:p w:rsidR="00F90299" w:rsidRPr="009A13D2" w:rsidRDefault="009A13D2" w:rsidP="00847DB5">
      <w:pPr>
        <w:pStyle w:val="a5"/>
        <w:numPr>
          <w:ilvl w:val="0"/>
          <w:numId w:val="2"/>
        </w:numPr>
        <w:spacing w:before="100" w:beforeAutospacing="1" w:after="0" w:afterAutospacing="1" w:line="240" w:lineRule="auto"/>
        <w:jc w:val="both"/>
        <w:rPr>
          <w:rFonts w:ascii="Times New Roman" w:eastAsia="Times New Roman" w:hAnsi="Times New Roman"/>
          <w:b/>
          <w:bCs/>
          <w:sz w:val="28"/>
          <w:szCs w:val="28"/>
          <w:lang w:eastAsia="ru-RU"/>
        </w:rPr>
      </w:pPr>
      <w:r w:rsidRPr="009A13D2">
        <w:rPr>
          <w:rFonts w:ascii="Times New Roman" w:hAnsi="Times New Roman"/>
          <w:b/>
          <w:bCs/>
          <w:sz w:val="28"/>
          <w:szCs w:val="28"/>
          <w:lang w:eastAsia="uk-UA"/>
        </w:rPr>
        <w:t>23 trainings for trainers (ToT) were conducted</w:t>
      </w:r>
    </w:p>
    <w:p w:rsidR="009A13D2" w:rsidRPr="009A13D2" w:rsidRDefault="00F90299" w:rsidP="00847DB5">
      <w:pPr>
        <w:pStyle w:val="a7"/>
        <w:numPr>
          <w:ilvl w:val="0"/>
          <w:numId w:val="13"/>
        </w:numPr>
        <w:rPr>
          <w:sz w:val="28"/>
          <w:szCs w:val="28"/>
        </w:rPr>
      </w:pPr>
      <w:r w:rsidRPr="00BB32DA">
        <w:rPr>
          <w:noProof/>
        </w:rPr>
        <w:drawing>
          <wp:anchor distT="0" distB="0" distL="114300" distR="114300" simplePos="0" relativeHeight="251704320" behindDoc="1" locked="0" layoutInCell="1" allowOverlap="1">
            <wp:simplePos x="0" y="0"/>
            <wp:positionH relativeFrom="margin">
              <wp:align>left</wp:align>
            </wp:positionH>
            <wp:positionV relativeFrom="paragraph">
              <wp:posOffset>76200</wp:posOffset>
            </wp:positionV>
            <wp:extent cx="3305175" cy="1952625"/>
            <wp:effectExtent l="0" t="0" r="9525" b="9525"/>
            <wp:wrapTight wrapText="bothSides">
              <wp:wrapPolygon edited="0">
                <wp:start x="0" y="0"/>
                <wp:lineTo x="0" y="21495"/>
                <wp:lineTo x="21538" y="21495"/>
                <wp:lineTo x="21538" y="0"/>
                <wp:lineTo x="0" y="0"/>
              </wp:wrapPolygon>
            </wp:wrapTight>
            <wp:docPr id="3" name="Рисунок 3" descr="C:\Users\fedorchenkonya\Downloads\IMG_69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edorchenkonya\Downloads\IMG_695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305175" cy="1952625"/>
                    </a:xfrm>
                    <a:prstGeom prst="rect">
                      <a:avLst/>
                    </a:prstGeom>
                    <a:noFill/>
                    <a:ln>
                      <a:noFill/>
                    </a:ln>
                  </pic:spPr>
                </pic:pic>
              </a:graphicData>
            </a:graphic>
          </wp:anchor>
        </w:drawing>
      </w:r>
      <w:r w:rsidRPr="00E02193">
        <w:rPr>
          <w:bCs/>
          <w:sz w:val="28"/>
          <w:szCs w:val="28"/>
          <w:lang w:eastAsia="ru-RU"/>
        </w:rPr>
        <w:t>“</w:t>
      </w:r>
      <w:r w:rsidR="009A13D2" w:rsidRPr="009A13D2">
        <w:t xml:space="preserve"> </w:t>
      </w:r>
      <w:r w:rsidR="009A13D2" w:rsidRPr="009A13D2">
        <w:rPr>
          <w:sz w:val="28"/>
          <w:szCs w:val="28"/>
        </w:rPr>
        <w:t>Judicial review of criminal proceedings on legalisation (laundering) of the proceeds of crime’;</w:t>
      </w:r>
    </w:p>
    <w:p w:rsidR="009A13D2" w:rsidRPr="009A13D2" w:rsidRDefault="009A13D2" w:rsidP="00847DB5">
      <w:pPr>
        <w:pStyle w:val="a7"/>
        <w:numPr>
          <w:ilvl w:val="0"/>
          <w:numId w:val="13"/>
        </w:numPr>
        <w:rPr>
          <w:sz w:val="28"/>
          <w:szCs w:val="28"/>
        </w:rPr>
      </w:pPr>
      <w:r w:rsidRPr="009A13D2">
        <w:rPr>
          <w:sz w:val="28"/>
          <w:szCs w:val="28"/>
        </w:rPr>
        <w:t>Countering the Financing of Terrorism: Judicial Aspect;</w:t>
      </w:r>
    </w:p>
    <w:p w:rsidR="009A13D2" w:rsidRPr="009A13D2" w:rsidRDefault="009A13D2" w:rsidP="00847DB5">
      <w:pPr>
        <w:pStyle w:val="a7"/>
        <w:numPr>
          <w:ilvl w:val="0"/>
          <w:numId w:val="13"/>
        </w:numPr>
        <w:rPr>
          <w:sz w:val="28"/>
          <w:szCs w:val="28"/>
        </w:rPr>
      </w:pPr>
      <w:r w:rsidRPr="009A13D2">
        <w:rPr>
          <w:sz w:val="28"/>
          <w:szCs w:val="28"/>
        </w:rPr>
        <w:t>‘The right to information and information with restricted access’;</w:t>
      </w:r>
    </w:p>
    <w:p w:rsidR="009A13D2" w:rsidRPr="009A13D2" w:rsidRDefault="009A13D2" w:rsidP="00847DB5">
      <w:pPr>
        <w:pStyle w:val="a7"/>
        <w:numPr>
          <w:ilvl w:val="0"/>
          <w:numId w:val="13"/>
        </w:numPr>
        <w:rPr>
          <w:sz w:val="28"/>
          <w:szCs w:val="28"/>
        </w:rPr>
      </w:pPr>
      <w:r w:rsidRPr="009A13D2">
        <w:rPr>
          <w:sz w:val="28"/>
          <w:szCs w:val="28"/>
        </w:rPr>
        <w:lastRenderedPageBreak/>
        <w:t>‘Consideration of criminal proceedings related to domestic violence’;</w:t>
      </w:r>
    </w:p>
    <w:p w:rsidR="009A13D2" w:rsidRPr="009A13D2" w:rsidRDefault="009A13D2" w:rsidP="00847DB5">
      <w:pPr>
        <w:pStyle w:val="a7"/>
        <w:numPr>
          <w:ilvl w:val="0"/>
          <w:numId w:val="13"/>
        </w:numPr>
        <w:rPr>
          <w:sz w:val="28"/>
          <w:szCs w:val="28"/>
        </w:rPr>
      </w:pPr>
      <w:r w:rsidRPr="009A13D2">
        <w:rPr>
          <w:sz w:val="28"/>
          <w:szCs w:val="28"/>
        </w:rPr>
        <w:t>‘Consideration by the courts of criminal proceedings on offences against industrial safety’;</w:t>
      </w:r>
    </w:p>
    <w:p w:rsidR="009A13D2" w:rsidRPr="009A13D2" w:rsidRDefault="009A13D2" w:rsidP="00847DB5">
      <w:pPr>
        <w:pStyle w:val="a7"/>
        <w:numPr>
          <w:ilvl w:val="0"/>
          <w:numId w:val="13"/>
        </w:numPr>
        <w:rPr>
          <w:sz w:val="28"/>
          <w:szCs w:val="28"/>
        </w:rPr>
      </w:pPr>
      <w:r w:rsidRPr="009A13D2">
        <w:rPr>
          <w:sz w:val="28"/>
          <w:szCs w:val="28"/>
        </w:rPr>
        <w:t>‘Consideration by the courts of criminal proceedings on illicit trafficking in narcotic drugs, psychotropic substances, their analogues and precursors’;</w:t>
      </w:r>
    </w:p>
    <w:p w:rsidR="009A13D2" w:rsidRPr="009A13D2" w:rsidRDefault="009A13D2" w:rsidP="00847DB5">
      <w:pPr>
        <w:pStyle w:val="a7"/>
        <w:numPr>
          <w:ilvl w:val="0"/>
          <w:numId w:val="13"/>
        </w:numPr>
        <w:rPr>
          <w:sz w:val="28"/>
          <w:szCs w:val="28"/>
        </w:rPr>
      </w:pPr>
      <w:r w:rsidRPr="009A13D2">
        <w:rPr>
          <w:sz w:val="28"/>
          <w:szCs w:val="28"/>
        </w:rPr>
        <w:t>‘Consideration of cases on family disputes’;</w:t>
      </w:r>
    </w:p>
    <w:p w:rsidR="009A13D2" w:rsidRPr="009A13D2" w:rsidRDefault="009A13D2" w:rsidP="00847DB5">
      <w:pPr>
        <w:pStyle w:val="a7"/>
        <w:numPr>
          <w:ilvl w:val="0"/>
          <w:numId w:val="13"/>
        </w:numPr>
        <w:rPr>
          <w:sz w:val="28"/>
          <w:szCs w:val="28"/>
        </w:rPr>
      </w:pPr>
      <w:r w:rsidRPr="009A13D2">
        <w:rPr>
          <w:sz w:val="28"/>
          <w:szCs w:val="28"/>
        </w:rPr>
        <w:t>Consumer protection: current issues of law enforcement and court practice;</w:t>
      </w:r>
    </w:p>
    <w:p w:rsidR="009A13D2" w:rsidRPr="009A13D2" w:rsidRDefault="009A13D2" w:rsidP="00847DB5">
      <w:pPr>
        <w:pStyle w:val="a7"/>
        <w:numPr>
          <w:ilvl w:val="0"/>
          <w:numId w:val="13"/>
        </w:numPr>
        <w:rPr>
          <w:sz w:val="28"/>
          <w:szCs w:val="28"/>
        </w:rPr>
      </w:pPr>
      <w:r w:rsidRPr="009A13D2">
        <w:rPr>
          <w:sz w:val="28"/>
          <w:szCs w:val="28"/>
        </w:rPr>
        <w:t>‘Problematic issues of compensation for damages in civil proceedings’;</w:t>
      </w:r>
    </w:p>
    <w:p w:rsidR="009A13D2" w:rsidRPr="009A13D2" w:rsidRDefault="009A13D2" w:rsidP="00847DB5">
      <w:pPr>
        <w:pStyle w:val="a7"/>
        <w:numPr>
          <w:ilvl w:val="0"/>
          <w:numId w:val="13"/>
        </w:numPr>
        <w:rPr>
          <w:sz w:val="28"/>
          <w:szCs w:val="28"/>
        </w:rPr>
      </w:pPr>
      <w:r w:rsidRPr="009A13D2">
        <w:rPr>
          <w:sz w:val="28"/>
          <w:szCs w:val="28"/>
        </w:rPr>
        <w:t>‘Procedural term as a component of the principle of legal certainty’;</w:t>
      </w:r>
    </w:p>
    <w:p w:rsidR="009A13D2" w:rsidRPr="009A13D2" w:rsidRDefault="009A13D2" w:rsidP="00847DB5">
      <w:pPr>
        <w:pStyle w:val="a7"/>
        <w:numPr>
          <w:ilvl w:val="0"/>
          <w:numId w:val="13"/>
        </w:numPr>
        <w:rPr>
          <w:sz w:val="28"/>
          <w:szCs w:val="28"/>
        </w:rPr>
      </w:pPr>
      <w:r w:rsidRPr="009A13D2">
        <w:rPr>
          <w:sz w:val="28"/>
          <w:szCs w:val="28"/>
        </w:rPr>
        <w:t>‘Application of preventive measures in the activities of the investigating judge’;</w:t>
      </w:r>
    </w:p>
    <w:p w:rsidR="009A13D2" w:rsidRPr="009A13D2" w:rsidRDefault="009A13D2" w:rsidP="00847DB5">
      <w:pPr>
        <w:pStyle w:val="a7"/>
        <w:numPr>
          <w:ilvl w:val="0"/>
          <w:numId w:val="13"/>
        </w:numPr>
        <w:rPr>
          <w:sz w:val="28"/>
          <w:szCs w:val="28"/>
        </w:rPr>
      </w:pPr>
      <w:r w:rsidRPr="009A13D2">
        <w:rPr>
          <w:sz w:val="28"/>
          <w:szCs w:val="28"/>
        </w:rPr>
        <w:t>‘Obstruction in the conduct of legal proceedings (procedural interventions). Methods of counteraction’;</w:t>
      </w:r>
    </w:p>
    <w:p w:rsidR="009A13D2" w:rsidRPr="009A13D2" w:rsidRDefault="009A13D2" w:rsidP="00847DB5">
      <w:pPr>
        <w:pStyle w:val="a7"/>
        <w:numPr>
          <w:ilvl w:val="0"/>
          <w:numId w:val="13"/>
        </w:numPr>
        <w:rPr>
          <w:sz w:val="28"/>
          <w:szCs w:val="28"/>
        </w:rPr>
      </w:pPr>
      <w:r w:rsidRPr="009A13D2">
        <w:rPr>
          <w:sz w:val="28"/>
          <w:szCs w:val="28"/>
        </w:rPr>
        <w:t>‘Topical issues of procedural law in economic proceedings’;</w:t>
      </w:r>
    </w:p>
    <w:p w:rsidR="009A13D2" w:rsidRPr="009A13D2" w:rsidRDefault="009A13D2" w:rsidP="00847DB5">
      <w:pPr>
        <w:pStyle w:val="a7"/>
        <w:numPr>
          <w:ilvl w:val="0"/>
          <w:numId w:val="13"/>
        </w:numPr>
        <w:rPr>
          <w:sz w:val="28"/>
          <w:szCs w:val="28"/>
        </w:rPr>
      </w:pPr>
      <w:r w:rsidRPr="009A13D2">
        <w:rPr>
          <w:sz w:val="28"/>
          <w:szCs w:val="28"/>
        </w:rPr>
        <w:t>‘Peculiarities of proceedings on criminal offences’;</w:t>
      </w:r>
    </w:p>
    <w:p w:rsidR="009A13D2" w:rsidRPr="009A13D2" w:rsidRDefault="009A13D2" w:rsidP="00847DB5">
      <w:pPr>
        <w:pStyle w:val="a7"/>
        <w:numPr>
          <w:ilvl w:val="0"/>
          <w:numId w:val="13"/>
        </w:numPr>
        <w:rPr>
          <w:sz w:val="28"/>
          <w:szCs w:val="28"/>
        </w:rPr>
      </w:pPr>
      <w:r w:rsidRPr="009A13D2">
        <w:rPr>
          <w:sz w:val="28"/>
          <w:szCs w:val="28"/>
        </w:rPr>
        <w:t>‘Protection of human rights provided for in Article 206 of the CPC of Ukraine by an investigating judge in the administration of justice’;</w:t>
      </w:r>
    </w:p>
    <w:p w:rsidR="009A13D2" w:rsidRPr="009A13D2" w:rsidRDefault="009A13D2" w:rsidP="00847DB5">
      <w:pPr>
        <w:pStyle w:val="a7"/>
        <w:numPr>
          <w:ilvl w:val="0"/>
          <w:numId w:val="13"/>
        </w:numPr>
        <w:rPr>
          <w:sz w:val="28"/>
          <w:szCs w:val="28"/>
        </w:rPr>
      </w:pPr>
      <w:r w:rsidRPr="009A13D2">
        <w:rPr>
          <w:sz w:val="28"/>
          <w:szCs w:val="28"/>
        </w:rPr>
        <w:t>‘Settlement of disputes arising from insurance contracts’;</w:t>
      </w:r>
    </w:p>
    <w:p w:rsidR="009A13D2" w:rsidRPr="009A13D2" w:rsidRDefault="009A13D2" w:rsidP="00847DB5">
      <w:pPr>
        <w:pStyle w:val="a7"/>
        <w:numPr>
          <w:ilvl w:val="0"/>
          <w:numId w:val="13"/>
        </w:numPr>
        <w:rPr>
          <w:sz w:val="28"/>
          <w:szCs w:val="28"/>
        </w:rPr>
      </w:pPr>
      <w:r w:rsidRPr="009A13D2">
        <w:rPr>
          <w:sz w:val="28"/>
          <w:szCs w:val="28"/>
        </w:rPr>
        <w:t>Strengthening the system of protection of children in conflict with the law;</w:t>
      </w:r>
    </w:p>
    <w:p w:rsidR="009A13D2" w:rsidRPr="009A13D2" w:rsidRDefault="009A13D2" w:rsidP="00847DB5">
      <w:pPr>
        <w:pStyle w:val="a7"/>
        <w:numPr>
          <w:ilvl w:val="0"/>
          <w:numId w:val="13"/>
        </w:numPr>
        <w:rPr>
          <w:sz w:val="28"/>
          <w:szCs w:val="28"/>
        </w:rPr>
      </w:pPr>
      <w:r w:rsidRPr="009A13D2">
        <w:rPr>
          <w:sz w:val="28"/>
          <w:szCs w:val="28"/>
        </w:rPr>
        <w:t>‘Judicial control over the exercise of discretionary powers by administrative bodies’;</w:t>
      </w:r>
    </w:p>
    <w:p w:rsidR="009A13D2" w:rsidRPr="009A13D2" w:rsidRDefault="009A13D2" w:rsidP="00847DB5">
      <w:pPr>
        <w:pStyle w:val="a7"/>
        <w:numPr>
          <w:ilvl w:val="0"/>
          <w:numId w:val="13"/>
        </w:numPr>
        <w:rPr>
          <w:sz w:val="28"/>
          <w:szCs w:val="28"/>
        </w:rPr>
      </w:pPr>
      <w:r w:rsidRPr="009A13D2">
        <w:rPr>
          <w:sz w:val="28"/>
          <w:szCs w:val="28"/>
        </w:rPr>
        <w:t>‘Psychological peculiarities of communication with participants of the trial who have experience of psychotraumatic impact’;</w:t>
      </w:r>
    </w:p>
    <w:p w:rsidR="009A13D2" w:rsidRPr="009A13D2" w:rsidRDefault="009A13D2" w:rsidP="00847DB5">
      <w:pPr>
        <w:pStyle w:val="a7"/>
        <w:numPr>
          <w:ilvl w:val="0"/>
          <w:numId w:val="13"/>
        </w:numPr>
        <w:rPr>
          <w:sz w:val="28"/>
          <w:szCs w:val="28"/>
        </w:rPr>
      </w:pPr>
      <w:r w:rsidRPr="009A13D2">
        <w:rPr>
          <w:sz w:val="28"/>
          <w:szCs w:val="28"/>
        </w:rPr>
        <w:t>‘Administrative liability for corruption-related offences’;</w:t>
      </w:r>
    </w:p>
    <w:p w:rsidR="009A13D2" w:rsidRPr="009A13D2" w:rsidRDefault="009A13D2" w:rsidP="00847DB5">
      <w:pPr>
        <w:pStyle w:val="a7"/>
        <w:numPr>
          <w:ilvl w:val="0"/>
          <w:numId w:val="13"/>
        </w:numPr>
        <w:rPr>
          <w:sz w:val="28"/>
          <w:szCs w:val="28"/>
        </w:rPr>
      </w:pPr>
      <w:r w:rsidRPr="009A13D2">
        <w:rPr>
          <w:sz w:val="28"/>
          <w:szCs w:val="28"/>
        </w:rPr>
        <w:t>‘Consideration of disputes over transactions in commercial proceedings: topical issues of law enforcement’;</w:t>
      </w:r>
    </w:p>
    <w:p w:rsidR="009A13D2" w:rsidRPr="009A13D2" w:rsidRDefault="009A13D2" w:rsidP="00847DB5">
      <w:pPr>
        <w:pStyle w:val="a7"/>
        <w:numPr>
          <w:ilvl w:val="0"/>
          <w:numId w:val="13"/>
        </w:numPr>
        <w:rPr>
          <w:sz w:val="28"/>
          <w:szCs w:val="28"/>
        </w:rPr>
      </w:pPr>
      <w:r w:rsidRPr="009A13D2">
        <w:rPr>
          <w:sz w:val="28"/>
          <w:szCs w:val="28"/>
        </w:rPr>
        <w:t>‘Practice of consideration by commercial courts of court disputes arising from credit legal relations’;</w:t>
      </w:r>
    </w:p>
    <w:p w:rsidR="009A13D2" w:rsidRPr="009A13D2" w:rsidRDefault="009A13D2" w:rsidP="00847DB5">
      <w:pPr>
        <w:pStyle w:val="a7"/>
        <w:numPr>
          <w:ilvl w:val="0"/>
          <w:numId w:val="13"/>
        </w:numPr>
        <w:rPr>
          <w:sz w:val="28"/>
          <w:szCs w:val="28"/>
        </w:rPr>
      </w:pPr>
      <w:r w:rsidRPr="009A13D2">
        <w:rPr>
          <w:sz w:val="28"/>
          <w:szCs w:val="28"/>
        </w:rPr>
        <w:t>Administrative liability for violation of customs regulations.</w:t>
      </w:r>
    </w:p>
    <w:p w:rsidR="009A13D2" w:rsidRPr="009A13D2" w:rsidRDefault="009A13D2" w:rsidP="009A13D2">
      <w:pPr>
        <w:spacing w:after="0"/>
        <w:jc w:val="both"/>
        <w:rPr>
          <w:rFonts w:ascii="Times New Roman" w:hAnsi="Times New Roman"/>
          <w:bCs/>
          <w:sz w:val="28"/>
          <w:szCs w:val="28"/>
          <w:lang w:val="en-US" w:eastAsia="ru-RU"/>
        </w:rPr>
      </w:pPr>
    </w:p>
    <w:p w:rsidR="00F840B0" w:rsidRPr="00F840B0" w:rsidRDefault="00F840B0" w:rsidP="00F840B0">
      <w:pPr>
        <w:pStyle w:val="1"/>
        <w:jc w:val="center"/>
        <w:rPr>
          <w:rFonts w:ascii="Times New Roman" w:hAnsi="Times New Roman" w:cs="Times New Roman"/>
          <w:lang w:val="en-US" w:eastAsia="uk-UA"/>
        </w:rPr>
      </w:pPr>
      <w:r w:rsidRPr="00F840B0">
        <w:rPr>
          <w:rFonts w:ascii="Times New Roman" w:hAnsi="Times New Roman" w:cs="Times New Roman"/>
          <w:lang w:val="en-US"/>
        </w:rPr>
        <w:t>COURSES FOR JUDICIAL CANDIDATES</w:t>
      </w:r>
    </w:p>
    <w:p w:rsidR="00F840B0" w:rsidRPr="00F840B0" w:rsidRDefault="00F840B0" w:rsidP="00F840B0">
      <w:pPr>
        <w:pStyle w:val="a7"/>
        <w:jc w:val="center"/>
        <w:rPr>
          <w:sz w:val="28"/>
          <w:szCs w:val="28"/>
        </w:rPr>
      </w:pPr>
      <w:r w:rsidRPr="00F840B0">
        <w:rPr>
          <w:sz w:val="28"/>
          <w:szCs w:val="28"/>
        </w:rPr>
        <w:t xml:space="preserve">In </w:t>
      </w:r>
      <w:r w:rsidRPr="00F840B0">
        <w:rPr>
          <w:b/>
          <w:bCs/>
          <w:sz w:val="28"/>
          <w:szCs w:val="28"/>
        </w:rPr>
        <w:t>2021</w:t>
      </w:r>
      <w:r w:rsidRPr="00F840B0">
        <w:rPr>
          <w:sz w:val="28"/>
          <w:szCs w:val="28"/>
        </w:rPr>
        <w:t xml:space="preserve">, the research departments </w:t>
      </w:r>
      <w:r w:rsidRPr="00F840B0">
        <w:rPr>
          <w:b/>
          <w:bCs/>
          <w:sz w:val="28"/>
          <w:szCs w:val="28"/>
        </w:rPr>
        <w:t>developed, updated, and</w:t>
      </w:r>
      <w:r w:rsidRPr="00F840B0">
        <w:rPr>
          <w:sz w:val="28"/>
          <w:szCs w:val="28"/>
        </w:rPr>
        <w:t xml:space="preserve"> </w:t>
      </w:r>
      <w:r w:rsidRPr="00F840B0">
        <w:rPr>
          <w:b/>
          <w:bCs/>
          <w:sz w:val="28"/>
          <w:szCs w:val="28"/>
        </w:rPr>
        <w:t xml:space="preserve">expanded trainings for </w:t>
      </w:r>
      <w:r w:rsidRPr="00F840B0">
        <w:rPr>
          <w:b/>
          <w:bCs/>
          <w:sz w:val="28"/>
          <w:szCs w:val="28"/>
          <w:u w:val="single"/>
        </w:rPr>
        <w:t>judicial candidates</w:t>
      </w:r>
      <w:r w:rsidRPr="00F840B0">
        <w:rPr>
          <w:sz w:val="28"/>
          <w:szCs w:val="28"/>
        </w:rPr>
        <w:t>, in particular:</w:t>
      </w:r>
    </w:p>
    <w:p w:rsidR="00F840B0" w:rsidRPr="00F840B0" w:rsidRDefault="00F840B0" w:rsidP="00F840B0">
      <w:pPr>
        <w:pStyle w:val="2"/>
        <w:rPr>
          <w:rFonts w:ascii="Times New Roman" w:hAnsi="Times New Roman" w:cs="Times New Roman"/>
          <w:sz w:val="28"/>
          <w:szCs w:val="28"/>
          <w:lang w:val="en-US" w:eastAsia="uk-UA"/>
        </w:rPr>
      </w:pPr>
      <w:r w:rsidRPr="00F840B0">
        <w:rPr>
          <w:rFonts w:ascii="Times New Roman" w:hAnsi="Times New Roman" w:cs="Times New Roman"/>
          <w:sz w:val="28"/>
          <w:szCs w:val="28"/>
          <w:lang w:val="en-US"/>
        </w:rPr>
        <w:t>development of 5 courses was completed:</w:t>
      </w:r>
    </w:p>
    <w:p w:rsidR="00F840B0" w:rsidRPr="00F840B0" w:rsidRDefault="00F840B0" w:rsidP="00847DB5">
      <w:pPr>
        <w:pStyle w:val="a7"/>
        <w:numPr>
          <w:ilvl w:val="0"/>
          <w:numId w:val="14"/>
        </w:numPr>
        <w:rPr>
          <w:sz w:val="28"/>
          <w:szCs w:val="28"/>
        </w:rPr>
      </w:pPr>
      <w:r>
        <w:t xml:space="preserve"> </w:t>
      </w:r>
      <w:r w:rsidRPr="00F840B0">
        <w:rPr>
          <w:sz w:val="28"/>
          <w:szCs w:val="28"/>
        </w:rPr>
        <w:t>Probation in criminal proceedings;</w:t>
      </w:r>
    </w:p>
    <w:p w:rsidR="00F840B0" w:rsidRPr="00F840B0" w:rsidRDefault="00F840B0" w:rsidP="00847DB5">
      <w:pPr>
        <w:pStyle w:val="a7"/>
        <w:numPr>
          <w:ilvl w:val="0"/>
          <w:numId w:val="14"/>
        </w:numPr>
        <w:rPr>
          <w:sz w:val="28"/>
          <w:szCs w:val="28"/>
        </w:rPr>
      </w:pPr>
      <w:r w:rsidRPr="00F840B0">
        <w:rPr>
          <w:sz w:val="28"/>
          <w:szCs w:val="28"/>
        </w:rPr>
        <w:t>‘Evidence and proof in commercial proceedings’;</w:t>
      </w:r>
    </w:p>
    <w:p w:rsidR="00F840B0" w:rsidRPr="00F840B0" w:rsidRDefault="00F840B0" w:rsidP="00847DB5">
      <w:pPr>
        <w:pStyle w:val="a7"/>
        <w:numPr>
          <w:ilvl w:val="0"/>
          <w:numId w:val="14"/>
        </w:numPr>
        <w:rPr>
          <w:sz w:val="28"/>
          <w:szCs w:val="28"/>
        </w:rPr>
      </w:pPr>
      <w:r w:rsidRPr="00F840B0">
        <w:rPr>
          <w:sz w:val="28"/>
          <w:szCs w:val="28"/>
        </w:rPr>
        <w:t>‘Conducting a court hearing and communicating with certain categories of participants in the court process’;</w:t>
      </w:r>
    </w:p>
    <w:p w:rsidR="00F840B0" w:rsidRPr="00F840B0" w:rsidRDefault="00F840B0" w:rsidP="00847DB5">
      <w:pPr>
        <w:pStyle w:val="a7"/>
        <w:numPr>
          <w:ilvl w:val="0"/>
          <w:numId w:val="14"/>
        </w:numPr>
        <w:rPr>
          <w:sz w:val="28"/>
          <w:szCs w:val="28"/>
        </w:rPr>
      </w:pPr>
      <w:r w:rsidRPr="00F840B0">
        <w:rPr>
          <w:sz w:val="28"/>
          <w:szCs w:val="28"/>
        </w:rPr>
        <w:lastRenderedPageBreak/>
        <w:t>Management of the courtroom;</w:t>
      </w:r>
    </w:p>
    <w:p w:rsidR="00F840B0" w:rsidRPr="00F840B0" w:rsidRDefault="00F840B0" w:rsidP="00847DB5">
      <w:pPr>
        <w:pStyle w:val="a7"/>
        <w:numPr>
          <w:ilvl w:val="0"/>
          <w:numId w:val="14"/>
        </w:numPr>
        <w:rPr>
          <w:sz w:val="28"/>
          <w:szCs w:val="28"/>
        </w:rPr>
      </w:pPr>
      <w:r w:rsidRPr="00F840B0">
        <w:rPr>
          <w:sz w:val="28"/>
          <w:szCs w:val="28"/>
        </w:rPr>
        <w:t>‘Settlement of disputes with the participation of a judge in civil, commercial and administrative proceedings’.</w:t>
      </w:r>
    </w:p>
    <w:p w:rsidR="00F90299" w:rsidRPr="00BF0D1F" w:rsidRDefault="00F90299" w:rsidP="003E3C6A">
      <w:pPr>
        <w:pStyle w:val="a7"/>
        <w:rPr>
          <w:b/>
        </w:rPr>
      </w:pPr>
      <w:r w:rsidRPr="003E3C6A">
        <w:rPr>
          <w:rFonts w:eastAsia="Calibri"/>
          <w:b/>
          <w:noProof/>
          <w:kern w:val="24"/>
          <w:position w:val="1"/>
          <w:sz w:val="28"/>
          <w:szCs w:val="28"/>
        </w:rPr>
        <w:drawing>
          <wp:anchor distT="0" distB="0" distL="114300" distR="114300" simplePos="0" relativeHeight="251707392" behindDoc="1" locked="0" layoutInCell="1" allowOverlap="1">
            <wp:simplePos x="0" y="0"/>
            <wp:positionH relativeFrom="column">
              <wp:posOffset>-15240</wp:posOffset>
            </wp:positionH>
            <wp:positionV relativeFrom="paragraph">
              <wp:posOffset>190500</wp:posOffset>
            </wp:positionV>
            <wp:extent cx="3171825" cy="2045970"/>
            <wp:effectExtent l="0" t="0" r="9525" b="0"/>
            <wp:wrapTight wrapText="bothSides">
              <wp:wrapPolygon edited="0">
                <wp:start x="0" y="0"/>
                <wp:lineTo x="0" y="21318"/>
                <wp:lineTo x="21535" y="21318"/>
                <wp:lineTo x="21535" y="0"/>
                <wp:lineTo x="0" y="0"/>
              </wp:wrapPolygon>
            </wp:wrapTight>
            <wp:docPr id="20" name="Рисунок 20" descr="C:\Users\fedorchenkonya\Downloads\p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edorchenkonya\Downloads\pv1.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171825" cy="2045970"/>
                    </a:xfrm>
                    <a:prstGeom prst="rect">
                      <a:avLst/>
                    </a:prstGeom>
                    <a:noFill/>
                    <a:ln>
                      <a:noFill/>
                    </a:ln>
                  </pic:spPr>
                </pic:pic>
              </a:graphicData>
            </a:graphic>
          </wp:anchor>
        </w:drawing>
      </w:r>
      <w:r w:rsidR="003E3C6A" w:rsidRPr="003E3C6A">
        <w:rPr>
          <w:b/>
          <w:bCs/>
          <w:sz w:val="28"/>
          <w:szCs w:val="28"/>
        </w:rPr>
        <w:t>7 trainings were tested</w:t>
      </w:r>
      <w:r w:rsidRPr="00BF0D1F">
        <w:rPr>
          <w:b/>
        </w:rPr>
        <w:t xml:space="preserve">: </w:t>
      </w:r>
    </w:p>
    <w:p w:rsidR="003E3C6A" w:rsidRPr="003E3C6A" w:rsidRDefault="003E3C6A" w:rsidP="00847DB5">
      <w:pPr>
        <w:pStyle w:val="a7"/>
        <w:numPr>
          <w:ilvl w:val="0"/>
          <w:numId w:val="15"/>
        </w:numPr>
        <w:rPr>
          <w:sz w:val="28"/>
          <w:szCs w:val="28"/>
        </w:rPr>
      </w:pPr>
      <w:r>
        <w:t>‘</w:t>
      </w:r>
      <w:r w:rsidRPr="003E3C6A">
        <w:rPr>
          <w:sz w:val="28"/>
          <w:szCs w:val="28"/>
        </w:rPr>
        <w:t>Management of the courtroom’;</w:t>
      </w:r>
    </w:p>
    <w:p w:rsidR="003E3C6A" w:rsidRPr="003E3C6A" w:rsidRDefault="003E3C6A" w:rsidP="00847DB5">
      <w:pPr>
        <w:pStyle w:val="a7"/>
        <w:numPr>
          <w:ilvl w:val="0"/>
          <w:numId w:val="15"/>
        </w:numPr>
        <w:rPr>
          <w:sz w:val="28"/>
          <w:szCs w:val="28"/>
        </w:rPr>
      </w:pPr>
      <w:r w:rsidRPr="003E3C6A">
        <w:rPr>
          <w:sz w:val="28"/>
          <w:szCs w:val="28"/>
        </w:rPr>
        <w:t>‘Psychological peculiarities of communication with participants of the trial who have experience of psychotraumatic impact’;</w:t>
      </w:r>
    </w:p>
    <w:p w:rsidR="003E3C6A" w:rsidRPr="003E3C6A" w:rsidRDefault="003E3C6A" w:rsidP="00847DB5">
      <w:pPr>
        <w:pStyle w:val="a7"/>
        <w:numPr>
          <w:ilvl w:val="0"/>
          <w:numId w:val="15"/>
        </w:numPr>
        <w:rPr>
          <w:sz w:val="28"/>
          <w:szCs w:val="28"/>
        </w:rPr>
      </w:pPr>
      <w:r w:rsidRPr="003E3C6A">
        <w:rPr>
          <w:sz w:val="28"/>
          <w:szCs w:val="28"/>
        </w:rPr>
        <w:t>‘Overcoming gender stereotypes in the administration of justice’;</w:t>
      </w:r>
    </w:p>
    <w:p w:rsidR="003E3C6A" w:rsidRPr="003E3C6A" w:rsidRDefault="003E3C6A" w:rsidP="00847DB5">
      <w:pPr>
        <w:pStyle w:val="a7"/>
        <w:numPr>
          <w:ilvl w:val="0"/>
          <w:numId w:val="15"/>
        </w:numPr>
        <w:rPr>
          <w:sz w:val="28"/>
          <w:szCs w:val="28"/>
        </w:rPr>
      </w:pPr>
      <w:r w:rsidRPr="003E3C6A">
        <w:rPr>
          <w:sz w:val="28"/>
          <w:szCs w:val="28"/>
        </w:rPr>
        <w:t>‘Cybercrime and electronic evidence in criminal proceedings’;</w:t>
      </w:r>
    </w:p>
    <w:p w:rsidR="003E3C6A" w:rsidRPr="003E3C6A" w:rsidRDefault="003E3C6A" w:rsidP="00847DB5">
      <w:pPr>
        <w:pStyle w:val="a7"/>
        <w:numPr>
          <w:ilvl w:val="0"/>
          <w:numId w:val="15"/>
        </w:numPr>
        <w:rPr>
          <w:sz w:val="28"/>
          <w:szCs w:val="28"/>
        </w:rPr>
      </w:pPr>
      <w:r w:rsidRPr="003E3C6A">
        <w:rPr>
          <w:sz w:val="28"/>
          <w:szCs w:val="28"/>
        </w:rPr>
        <w:t>Probation in criminal proceedings;</w:t>
      </w:r>
    </w:p>
    <w:p w:rsidR="003E3C6A" w:rsidRPr="003E3C6A" w:rsidRDefault="003E3C6A" w:rsidP="00847DB5">
      <w:pPr>
        <w:pStyle w:val="a7"/>
        <w:numPr>
          <w:ilvl w:val="0"/>
          <w:numId w:val="15"/>
        </w:numPr>
        <w:rPr>
          <w:sz w:val="28"/>
          <w:szCs w:val="28"/>
        </w:rPr>
      </w:pPr>
      <w:r w:rsidRPr="003E3C6A">
        <w:rPr>
          <w:sz w:val="28"/>
          <w:szCs w:val="28"/>
        </w:rPr>
        <w:t>‘Evidence and proof in commercial proceedings’;</w:t>
      </w:r>
    </w:p>
    <w:p w:rsidR="003E3C6A" w:rsidRPr="003E3C6A" w:rsidRDefault="003E3C6A" w:rsidP="00847DB5">
      <w:pPr>
        <w:pStyle w:val="a7"/>
        <w:numPr>
          <w:ilvl w:val="0"/>
          <w:numId w:val="15"/>
        </w:numPr>
        <w:rPr>
          <w:sz w:val="28"/>
          <w:szCs w:val="28"/>
        </w:rPr>
      </w:pPr>
      <w:r w:rsidRPr="003E3C6A">
        <w:rPr>
          <w:sz w:val="28"/>
          <w:szCs w:val="28"/>
        </w:rPr>
        <w:t>‘Conducting a court hearing and communicating with certain categories of participants in the court process’.</w:t>
      </w:r>
    </w:p>
    <w:p w:rsidR="003E3C6A" w:rsidRPr="003E3C6A" w:rsidRDefault="003E3C6A" w:rsidP="003E3C6A">
      <w:pPr>
        <w:pStyle w:val="2"/>
        <w:rPr>
          <w:rFonts w:ascii="Times New Roman" w:hAnsi="Times New Roman" w:cs="Times New Roman"/>
          <w:sz w:val="28"/>
          <w:szCs w:val="28"/>
          <w:lang w:val="en-US"/>
        </w:rPr>
      </w:pPr>
      <w:r w:rsidRPr="003E3C6A">
        <w:rPr>
          <w:rFonts w:ascii="Times New Roman" w:hAnsi="Times New Roman" w:cs="Times New Roman"/>
          <w:sz w:val="28"/>
          <w:szCs w:val="28"/>
          <w:lang w:val="en-US"/>
        </w:rPr>
        <w:t>11 trainings for trainers (ToT) were held:</w:t>
      </w:r>
    </w:p>
    <w:p w:rsidR="003E3C6A" w:rsidRPr="003E3C6A" w:rsidRDefault="003E3C6A" w:rsidP="00847DB5">
      <w:pPr>
        <w:pStyle w:val="a7"/>
        <w:numPr>
          <w:ilvl w:val="0"/>
          <w:numId w:val="16"/>
        </w:numPr>
        <w:rPr>
          <w:sz w:val="28"/>
          <w:szCs w:val="28"/>
        </w:rPr>
      </w:pPr>
      <w:r w:rsidRPr="003E3C6A">
        <w:rPr>
          <w:sz w:val="28"/>
          <w:szCs w:val="28"/>
        </w:rPr>
        <w:t>‘Overcoming gender stereotypes in the administration of justice’;</w:t>
      </w:r>
    </w:p>
    <w:p w:rsidR="003E3C6A" w:rsidRPr="003E3C6A" w:rsidRDefault="003E3C6A" w:rsidP="00847DB5">
      <w:pPr>
        <w:pStyle w:val="a7"/>
        <w:numPr>
          <w:ilvl w:val="0"/>
          <w:numId w:val="16"/>
        </w:numPr>
        <w:rPr>
          <w:sz w:val="28"/>
          <w:szCs w:val="28"/>
        </w:rPr>
      </w:pPr>
      <w:r w:rsidRPr="003E3C6A">
        <w:rPr>
          <w:sz w:val="28"/>
          <w:szCs w:val="28"/>
        </w:rPr>
        <w:t>‘Dispute Resolution with the Participation of a Judge in Civil, Commercial and Administrative Proceedings’;</w:t>
      </w:r>
    </w:p>
    <w:p w:rsidR="003E3C6A" w:rsidRPr="003E3C6A" w:rsidRDefault="003E3C6A" w:rsidP="00847DB5">
      <w:pPr>
        <w:pStyle w:val="a7"/>
        <w:numPr>
          <w:ilvl w:val="0"/>
          <w:numId w:val="16"/>
        </w:numPr>
        <w:rPr>
          <w:sz w:val="28"/>
          <w:szCs w:val="28"/>
        </w:rPr>
      </w:pPr>
      <w:r w:rsidRPr="003E3C6A">
        <w:rPr>
          <w:sz w:val="28"/>
          <w:szCs w:val="28"/>
        </w:rPr>
        <w:t>‘Preparatory proceedings in commercial proceedings’;</w:t>
      </w:r>
    </w:p>
    <w:p w:rsidR="003E3C6A" w:rsidRPr="003E3C6A" w:rsidRDefault="003E3C6A" w:rsidP="00847DB5">
      <w:pPr>
        <w:pStyle w:val="a7"/>
        <w:numPr>
          <w:ilvl w:val="0"/>
          <w:numId w:val="16"/>
        </w:numPr>
        <w:rPr>
          <w:sz w:val="28"/>
          <w:szCs w:val="28"/>
        </w:rPr>
      </w:pPr>
      <w:r w:rsidRPr="003E3C6A">
        <w:rPr>
          <w:sz w:val="28"/>
          <w:szCs w:val="28"/>
        </w:rPr>
        <w:t>‘Liability for breach of economic obligations’;</w:t>
      </w:r>
    </w:p>
    <w:p w:rsidR="003E3C6A" w:rsidRPr="003E3C6A" w:rsidRDefault="003E3C6A" w:rsidP="00847DB5">
      <w:pPr>
        <w:pStyle w:val="a7"/>
        <w:numPr>
          <w:ilvl w:val="0"/>
          <w:numId w:val="16"/>
        </w:numPr>
        <w:rPr>
          <w:sz w:val="28"/>
          <w:szCs w:val="28"/>
        </w:rPr>
      </w:pPr>
      <w:r w:rsidRPr="003E3C6A">
        <w:rPr>
          <w:sz w:val="28"/>
          <w:szCs w:val="28"/>
        </w:rPr>
        <w:t>‘Protection of property rights. Problematic issues of the unity of judicial practice’;</w:t>
      </w:r>
    </w:p>
    <w:p w:rsidR="003E3C6A" w:rsidRPr="003E3C6A" w:rsidRDefault="003E3C6A" w:rsidP="00847DB5">
      <w:pPr>
        <w:pStyle w:val="a7"/>
        <w:numPr>
          <w:ilvl w:val="0"/>
          <w:numId w:val="16"/>
        </w:numPr>
        <w:rPr>
          <w:sz w:val="28"/>
          <w:szCs w:val="28"/>
        </w:rPr>
      </w:pPr>
      <w:r w:rsidRPr="003E3C6A">
        <w:rPr>
          <w:sz w:val="28"/>
          <w:szCs w:val="28"/>
        </w:rPr>
        <w:t>‘Violation of the rules of road safety or operation of transport by persons driving vehicles (Article 286 of the Criminal Code). Peculiarities of qualification and corpus delicti’;</w:t>
      </w:r>
    </w:p>
    <w:p w:rsidR="003E3C6A" w:rsidRPr="003E3C6A" w:rsidRDefault="003E3C6A" w:rsidP="00847DB5">
      <w:pPr>
        <w:pStyle w:val="a7"/>
        <w:numPr>
          <w:ilvl w:val="0"/>
          <w:numId w:val="16"/>
        </w:numPr>
        <w:rPr>
          <w:sz w:val="28"/>
          <w:szCs w:val="28"/>
        </w:rPr>
      </w:pPr>
      <w:r w:rsidRPr="003E3C6A">
        <w:rPr>
          <w:sz w:val="28"/>
          <w:szCs w:val="28"/>
        </w:rPr>
        <w:t>‘Cybercrime and electronic evidence in criminal proceedings’;</w:t>
      </w:r>
    </w:p>
    <w:p w:rsidR="003E3C6A" w:rsidRPr="003E3C6A" w:rsidRDefault="003E3C6A" w:rsidP="00847DB5">
      <w:pPr>
        <w:pStyle w:val="a7"/>
        <w:numPr>
          <w:ilvl w:val="0"/>
          <w:numId w:val="16"/>
        </w:numPr>
        <w:rPr>
          <w:sz w:val="28"/>
          <w:szCs w:val="28"/>
        </w:rPr>
      </w:pPr>
      <w:r w:rsidRPr="003E3C6A">
        <w:rPr>
          <w:sz w:val="28"/>
          <w:szCs w:val="28"/>
        </w:rPr>
        <w:t>‘Psychological peculiarities of communication with participants of the trial who have experience of psychotraumatic impact’;</w:t>
      </w:r>
    </w:p>
    <w:p w:rsidR="003E3C6A" w:rsidRPr="003E3C6A" w:rsidRDefault="003E3C6A" w:rsidP="00847DB5">
      <w:pPr>
        <w:pStyle w:val="a7"/>
        <w:numPr>
          <w:ilvl w:val="0"/>
          <w:numId w:val="16"/>
        </w:numPr>
        <w:rPr>
          <w:sz w:val="28"/>
          <w:szCs w:val="28"/>
        </w:rPr>
      </w:pPr>
      <w:r w:rsidRPr="003E3C6A">
        <w:rPr>
          <w:sz w:val="28"/>
          <w:szCs w:val="28"/>
        </w:rPr>
        <w:t>‘Evidence and proof in commercial proceedings’;</w:t>
      </w:r>
    </w:p>
    <w:p w:rsidR="003E3C6A" w:rsidRPr="003E3C6A" w:rsidRDefault="003E3C6A" w:rsidP="00847DB5">
      <w:pPr>
        <w:pStyle w:val="a7"/>
        <w:numPr>
          <w:ilvl w:val="0"/>
          <w:numId w:val="16"/>
        </w:numPr>
        <w:rPr>
          <w:sz w:val="28"/>
          <w:szCs w:val="28"/>
        </w:rPr>
      </w:pPr>
      <w:r w:rsidRPr="003E3C6A">
        <w:rPr>
          <w:sz w:val="28"/>
          <w:szCs w:val="28"/>
        </w:rPr>
        <w:t>‘Conducting a court hearing and communicating with certain categories of litigants’;</w:t>
      </w:r>
    </w:p>
    <w:p w:rsidR="003E3C6A" w:rsidRPr="003E3C6A" w:rsidRDefault="003E3C6A" w:rsidP="00847DB5">
      <w:pPr>
        <w:pStyle w:val="a7"/>
        <w:numPr>
          <w:ilvl w:val="0"/>
          <w:numId w:val="16"/>
        </w:numPr>
        <w:rPr>
          <w:sz w:val="28"/>
          <w:szCs w:val="28"/>
        </w:rPr>
      </w:pPr>
      <w:r w:rsidRPr="003E3C6A">
        <w:rPr>
          <w:sz w:val="28"/>
          <w:szCs w:val="28"/>
        </w:rPr>
        <w:t>‘Management of the courtroom’.</w:t>
      </w:r>
    </w:p>
    <w:p w:rsidR="00F34C0E" w:rsidRPr="00F34C0E" w:rsidRDefault="00F34C0E" w:rsidP="00F34C0E">
      <w:pPr>
        <w:pStyle w:val="1"/>
        <w:jc w:val="center"/>
        <w:rPr>
          <w:rFonts w:ascii="Times New Roman" w:hAnsi="Times New Roman" w:cs="Times New Roman"/>
          <w:sz w:val="48"/>
          <w:szCs w:val="48"/>
          <w:lang w:val="en-US" w:eastAsia="uk-UA"/>
        </w:rPr>
      </w:pPr>
      <w:r w:rsidRPr="00F34C0E">
        <w:rPr>
          <w:rFonts w:ascii="Times New Roman" w:hAnsi="Times New Roman" w:cs="Times New Roman"/>
          <w:lang w:val="en-US"/>
        </w:rPr>
        <w:t>DISTANCE LEARNING FOR JUDGES AND COURT STAFF</w:t>
      </w:r>
    </w:p>
    <w:p w:rsidR="00F90299" w:rsidRPr="00F34C0E" w:rsidRDefault="00F90299" w:rsidP="00BF0D1F">
      <w:pPr>
        <w:spacing w:after="0"/>
        <w:jc w:val="center"/>
        <w:rPr>
          <w:rFonts w:ascii="Times New Roman" w:eastAsia="Calibri" w:hAnsi="Times New Roman" w:cs="Times New Roman"/>
          <w:kern w:val="24"/>
          <w:position w:val="1"/>
          <w:sz w:val="28"/>
          <w:szCs w:val="28"/>
          <w:lang w:val="en-US" w:eastAsia="uk-UA"/>
        </w:rPr>
      </w:pPr>
    </w:p>
    <w:p w:rsidR="00034F7C" w:rsidRPr="00034F7C" w:rsidRDefault="00034F7C" w:rsidP="00034F7C">
      <w:pPr>
        <w:pStyle w:val="a7"/>
        <w:rPr>
          <w:sz w:val="28"/>
          <w:szCs w:val="28"/>
        </w:rPr>
      </w:pPr>
      <w:r w:rsidRPr="00034F7C">
        <w:rPr>
          <w:sz w:val="28"/>
          <w:szCs w:val="28"/>
        </w:rPr>
        <w:lastRenderedPageBreak/>
        <w:t xml:space="preserve">A separate area of the NSSU's educational work is the delivery of </w:t>
      </w:r>
      <w:r w:rsidRPr="00034F7C">
        <w:rPr>
          <w:b/>
          <w:bCs/>
          <w:sz w:val="28"/>
          <w:szCs w:val="28"/>
        </w:rPr>
        <w:t>distance learning</w:t>
      </w:r>
      <w:r w:rsidRPr="00034F7C">
        <w:rPr>
          <w:sz w:val="28"/>
          <w:szCs w:val="28"/>
        </w:rPr>
        <w:t xml:space="preserve"> courses.</w:t>
      </w:r>
    </w:p>
    <w:p w:rsidR="00F90299" w:rsidRPr="00034F7C" w:rsidRDefault="00F90299" w:rsidP="00034F7C">
      <w:pPr>
        <w:pStyle w:val="a7"/>
        <w:rPr>
          <w:sz w:val="28"/>
          <w:szCs w:val="28"/>
        </w:rPr>
      </w:pPr>
      <w:r w:rsidRPr="001B476A">
        <w:rPr>
          <w:rFonts w:eastAsia="Calibri"/>
          <w:b/>
          <w:noProof/>
          <w:kern w:val="24"/>
          <w:position w:val="1"/>
          <w:sz w:val="28"/>
          <w:szCs w:val="28"/>
        </w:rPr>
        <w:drawing>
          <wp:anchor distT="0" distB="0" distL="114300" distR="114300" simplePos="0" relativeHeight="251688960" behindDoc="1" locked="0" layoutInCell="1" allowOverlap="1">
            <wp:simplePos x="0" y="0"/>
            <wp:positionH relativeFrom="column">
              <wp:posOffset>80010</wp:posOffset>
            </wp:positionH>
            <wp:positionV relativeFrom="paragraph">
              <wp:posOffset>135255</wp:posOffset>
            </wp:positionV>
            <wp:extent cx="3067050" cy="2058035"/>
            <wp:effectExtent l="0" t="0" r="0" b="0"/>
            <wp:wrapTight wrapText="bothSides">
              <wp:wrapPolygon edited="0">
                <wp:start x="0" y="0"/>
                <wp:lineTo x="0" y="21393"/>
                <wp:lineTo x="21466" y="21393"/>
                <wp:lineTo x="21466" y="0"/>
                <wp:lineTo x="0" y="0"/>
              </wp:wrapPolygon>
            </wp:wrapTight>
            <wp:docPr id="12" name="Рисунок 12" descr="C:\Users\shamraiov\Desktop\дист навчання КАРТИНК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amraiov\Desktop\дист навчання КАРТИНКА.jpe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67050" cy="2058035"/>
                    </a:xfrm>
                    <a:prstGeom prst="rect">
                      <a:avLst/>
                    </a:prstGeom>
                    <a:noFill/>
                    <a:ln>
                      <a:noFill/>
                    </a:ln>
                  </pic:spPr>
                </pic:pic>
              </a:graphicData>
            </a:graphic>
          </wp:anchor>
        </w:drawing>
      </w:r>
      <w:r w:rsidR="00034F7C" w:rsidRPr="00034F7C">
        <w:rPr>
          <w:b/>
          <w:bCs/>
        </w:rPr>
        <w:t xml:space="preserve"> </w:t>
      </w:r>
      <w:r w:rsidR="00034F7C" w:rsidRPr="00034F7C">
        <w:rPr>
          <w:b/>
          <w:bCs/>
          <w:sz w:val="28"/>
          <w:szCs w:val="28"/>
        </w:rPr>
        <w:t>Thus, in 2021, 12 distance courses for judges were developed</w:t>
      </w:r>
      <w:r w:rsidRPr="00034F7C">
        <w:rPr>
          <w:rFonts w:eastAsia="Calibri"/>
          <w:b/>
          <w:kern w:val="24"/>
          <w:position w:val="1"/>
          <w:sz w:val="28"/>
          <w:szCs w:val="28"/>
        </w:rPr>
        <w:t xml:space="preserve">: </w:t>
      </w:r>
    </w:p>
    <w:p w:rsidR="00034F7C" w:rsidRPr="00034F7C" w:rsidRDefault="00034F7C" w:rsidP="00847DB5">
      <w:pPr>
        <w:pStyle w:val="a7"/>
        <w:numPr>
          <w:ilvl w:val="0"/>
          <w:numId w:val="17"/>
        </w:numPr>
        <w:rPr>
          <w:sz w:val="28"/>
          <w:szCs w:val="28"/>
        </w:rPr>
      </w:pPr>
      <w:r w:rsidRPr="00034F7C">
        <w:rPr>
          <w:sz w:val="28"/>
          <w:szCs w:val="28"/>
        </w:rPr>
        <w:t>Protection of the rights and interests of children in family disputes;</w:t>
      </w:r>
    </w:p>
    <w:p w:rsidR="00034F7C" w:rsidRPr="00034F7C" w:rsidRDefault="00034F7C" w:rsidP="00847DB5">
      <w:pPr>
        <w:pStyle w:val="a7"/>
        <w:numPr>
          <w:ilvl w:val="0"/>
          <w:numId w:val="17"/>
        </w:numPr>
        <w:rPr>
          <w:sz w:val="28"/>
          <w:szCs w:val="28"/>
        </w:rPr>
      </w:pPr>
      <w:r w:rsidRPr="00034F7C">
        <w:rPr>
          <w:sz w:val="28"/>
          <w:szCs w:val="28"/>
        </w:rPr>
        <w:t>‘Evidence and proof in administrative proceedings’;</w:t>
      </w:r>
    </w:p>
    <w:p w:rsidR="00034F7C" w:rsidRPr="00034F7C" w:rsidRDefault="00034F7C" w:rsidP="00847DB5">
      <w:pPr>
        <w:pStyle w:val="a7"/>
        <w:numPr>
          <w:ilvl w:val="0"/>
          <w:numId w:val="17"/>
        </w:numPr>
        <w:rPr>
          <w:sz w:val="28"/>
          <w:szCs w:val="28"/>
        </w:rPr>
      </w:pPr>
      <w:r w:rsidRPr="00034F7C">
        <w:rPr>
          <w:sz w:val="28"/>
          <w:szCs w:val="28"/>
        </w:rPr>
        <w:t>‘Consideration of criminal proceedings related to domestic violence’;</w:t>
      </w:r>
    </w:p>
    <w:p w:rsidR="00034F7C" w:rsidRPr="00034F7C" w:rsidRDefault="00034F7C" w:rsidP="00847DB5">
      <w:pPr>
        <w:pStyle w:val="a7"/>
        <w:numPr>
          <w:ilvl w:val="0"/>
          <w:numId w:val="17"/>
        </w:numPr>
        <w:rPr>
          <w:sz w:val="28"/>
          <w:szCs w:val="28"/>
        </w:rPr>
      </w:pPr>
      <w:r w:rsidRPr="00034F7C">
        <w:rPr>
          <w:sz w:val="28"/>
          <w:szCs w:val="28"/>
        </w:rPr>
        <w:t>‘Psychological peculiarities of communication with participants of the trial who have experience of psychotraumatic impact’;</w:t>
      </w:r>
    </w:p>
    <w:p w:rsidR="00034F7C" w:rsidRPr="00034F7C" w:rsidRDefault="00034F7C" w:rsidP="00847DB5">
      <w:pPr>
        <w:pStyle w:val="a7"/>
        <w:numPr>
          <w:ilvl w:val="0"/>
          <w:numId w:val="17"/>
        </w:numPr>
        <w:rPr>
          <w:sz w:val="28"/>
          <w:szCs w:val="28"/>
        </w:rPr>
      </w:pPr>
      <w:r w:rsidRPr="00034F7C">
        <w:rPr>
          <w:sz w:val="28"/>
          <w:szCs w:val="28"/>
        </w:rPr>
        <w:t>Probation in criminal proceedings;</w:t>
      </w:r>
    </w:p>
    <w:p w:rsidR="00034F7C" w:rsidRPr="00034F7C" w:rsidRDefault="00034F7C" w:rsidP="00847DB5">
      <w:pPr>
        <w:pStyle w:val="a7"/>
        <w:numPr>
          <w:ilvl w:val="0"/>
          <w:numId w:val="17"/>
        </w:numPr>
        <w:rPr>
          <w:sz w:val="28"/>
          <w:szCs w:val="28"/>
        </w:rPr>
      </w:pPr>
      <w:r w:rsidRPr="00034F7C">
        <w:rPr>
          <w:sz w:val="28"/>
          <w:szCs w:val="28"/>
        </w:rPr>
        <w:t>‘Ensuring gender equality’;</w:t>
      </w:r>
    </w:p>
    <w:p w:rsidR="00034F7C" w:rsidRPr="00034F7C" w:rsidRDefault="00034F7C" w:rsidP="00847DB5">
      <w:pPr>
        <w:pStyle w:val="a7"/>
        <w:numPr>
          <w:ilvl w:val="0"/>
          <w:numId w:val="17"/>
        </w:numPr>
        <w:rPr>
          <w:sz w:val="28"/>
          <w:szCs w:val="28"/>
        </w:rPr>
      </w:pPr>
      <w:r w:rsidRPr="00034F7C">
        <w:rPr>
          <w:sz w:val="28"/>
          <w:szCs w:val="28"/>
        </w:rPr>
        <w:t>‘Socio-economic competence of a judge’;</w:t>
      </w:r>
    </w:p>
    <w:p w:rsidR="00034F7C" w:rsidRPr="00034F7C" w:rsidRDefault="00034F7C" w:rsidP="00847DB5">
      <w:pPr>
        <w:pStyle w:val="a7"/>
        <w:numPr>
          <w:ilvl w:val="0"/>
          <w:numId w:val="17"/>
        </w:numPr>
        <w:rPr>
          <w:sz w:val="28"/>
          <w:szCs w:val="28"/>
        </w:rPr>
      </w:pPr>
      <w:r w:rsidRPr="00034F7C">
        <w:rPr>
          <w:sz w:val="28"/>
          <w:szCs w:val="28"/>
        </w:rPr>
        <w:t>‘Topical issues of application of economic procedural legislation’;</w:t>
      </w:r>
    </w:p>
    <w:p w:rsidR="00034F7C" w:rsidRPr="00034F7C" w:rsidRDefault="00034F7C" w:rsidP="00847DB5">
      <w:pPr>
        <w:pStyle w:val="a7"/>
        <w:numPr>
          <w:ilvl w:val="0"/>
          <w:numId w:val="17"/>
        </w:numPr>
        <w:rPr>
          <w:sz w:val="28"/>
          <w:szCs w:val="28"/>
        </w:rPr>
      </w:pPr>
      <w:r w:rsidRPr="00034F7C">
        <w:rPr>
          <w:sz w:val="28"/>
          <w:szCs w:val="28"/>
        </w:rPr>
        <w:t>‘Problematic issues of proof in civil proceedings’;</w:t>
      </w:r>
    </w:p>
    <w:p w:rsidR="00034F7C" w:rsidRPr="00034F7C" w:rsidRDefault="00034F7C" w:rsidP="00847DB5">
      <w:pPr>
        <w:pStyle w:val="a7"/>
        <w:numPr>
          <w:ilvl w:val="0"/>
          <w:numId w:val="17"/>
        </w:numPr>
        <w:rPr>
          <w:sz w:val="28"/>
          <w:szCs w:val="28"/>
        </w:rPr>
      </w:pPr>
      <w:r w:rsidRPr="00034F7C">
        <w:rPr>
          <w:sz w:val="28"/>
          <w:szCs w:val="28"/>
        </w:rPr>
        <w:t>‘Consideration of cases on crimes against sexual freedom and sexual inviolability’;</w:t>
      </w:r>
    </w:p>
    <w:p w:rsidR="00034F7C" w:rsidRPr="00034F7C" w:rsidRDefault="00034F7C" w:rsidP="00847DB5">
      <w:pPr>
        <w:pStyle w:val="a7"/>
        <w:numPr>
          <w:ilvl w:val="0"/>
          <w:numId w:val="17"/>
        </w:numPr>
        <w:rPr>
          <w:sz w:val="28"/>
          <w:szCs w:val="28"/>
        </w:rPr>
      </w:pPr>
      <w:r w:rsidRPr="00034F7C">
        <w:rPr>
          <w:sz w:val="28"/>
          <w:szCs w:val="28"/>
        </w:rPr>
        <w:t>‘Psychological peculiarities of communication with juvenile/minor participants in the judicial process’;</w:t>
      </w:r>
    </w:p>
    <w:p w:rsidR="00034F7C" w:rsidRPr="00034F7C" w:rsidRDefault="00034F7C" w:rsidP="00847DB5">
      <w:pPr>
        <w:pStyle w:val="a7"/>
        <w:numPr>
          <w:ilvl w:val="0"/>
          <w:numId w:val="17"/>
        </w:numPr>
        <w:rPr>
          <w:sz w:val="28"/>
          <w:szCs w:val="28"/>
        </w:rPr>
      </w:pPr>
      <w:r w:rsidRPr="00034F7C">
        <w:rPr>
          <w:sz w:val="28"/>
          <w:szCs w:val="28"/>
        </w:rPr>
        <w:t>‘Fundamentals of self-regulation and its role in the professional activity of a judge’.</w:t>
      </w:r>
    </w:p>
    <w:p w:rsidR="00034F7C" w:rsidRPr="00034F7C" w:rsidRDefault="00034F7C" w:rsidP="00847DB5">
      <w:pPr>
        <w:pStyle w:val="a7"/>
        <w:numPr>
          <w:ilvl w:val="0"/>
          <w:numId w:val="17"/>
        </w:numPr>
        <w:rPr>
          <w:sz w:val="28"/>
          <w:szCs w:val="28"/>
        </w:rPr>
      </w:pPr>
      <w:r w:rsidRPr="00034F7C">
        <w:rPr>
          <w:sz w:val="28"/>
          <w:szCs w:val="28"/>
        </w:rPr>
        <w:t>An e-learning course for judges and court staff on the Language of Judicial Procedure was developed.</w:t>
      </w:r>
    </w:p>
    <w:p w:rsidR="00034F7C" w:rsidRPr="00034F7C" w:rsidRDefault="00034F7C" w:rsidP="00034F7C">
      <w:pPr>
        <w:pStyle w:val="2"/>
        <w:rPr>
          <w:rFonts w:ascii="Times New Roman" w:hAnsi="Times New Roman" w:cs="Times New Roman"/>
          <w:sz w:val="28"/>
          <w:szCs w:val="28"/>
          <w:lang w:val="en-US"/>
        </w:rPr>
      </w:pPr>
      <w:r w:rsidRPr="00034F7C">
        <w:rPr>
          <w:rFonts w:ascii="Times New Roman" w:hAnsi="Times New Roman" w:cs="Times New Roman"/>
          <w:sz w:val="28"/>
          <w:szCs w:val="28"/>
          <w:lang w:val="en-US"/>
        </w:rPr>
        <w:t>12 distance learning courses were tested:</w:t>
      </w:r>
    </w:p>
    <w:p w:rsidR="00034F7C" w:rsidRPr="00034F7C" w:rsidRDefault="00034F7C" w:rsidP="00847DB5">
      <w:pPr>
        <w:pStyle w:val="a7"/>
        <w:numPr>
          <w:ilvl w:val="0"/>
          <w:numId w:val="18"/>
        </w:numPr>
        <w:rPr>
          <w:sz w:val="28"/>
          <w:szCs w:val="28"/>
        </w:rPr>
      </w:pPr>
      <w:r w:rsidRPr="00034F7C">
        <w:rPr>
          <w:sz w:val="28"/>
          <w:szCs w:val="28"/>
        </w:rPr>
        <w:t xml:space="preserve"> Consideration of Criminal Proceedings Related to Domestic Violence;</w:t>
      </w:r>
    </w:p>
    <w:p w:rsidR="00034F7C" w:rsidRPr="00034F7C" w:rsidRDefault="00034F7C" w:rsidP="00847DB5">
      <w:pPr>
        <w:pStyle w:val="a7"/>
        <w:numPr>
          <w:ilvl w:val="0"/>
          <w:numId w:val="18"/>
        </w:numPr>
        <w:rPr>
          <w:sz w:val="28"/>
          <w:szCs w:val="28"/>
        </w:rPr>
      </w:pPr>
      <w:r w:rsidRPr="00034F7C">
        <w:rPr>
          <w:sz w:val="28"/>
          <w:szCs w:val="28"/>
        </w:rPr>
        <w:t xml:space="preserve"> Probation in criminal proceedings;</w:t>
      </w:r>
    </w:p>
    <w:p w:rsidR="00034F7C" w:rsidRPr="00034F7C" w:rsidRDefault="00034F7C" w:rsidP="00847DB5">
      <w:pPr>
        <w:pStyle w:val="a7"/>
        <w:numPr>
          <w:ilvl w:val="0"/>
          <w:numId w:val="18"/>
        </w:numPr>
        <w:rPr>
          <w:sz w:val="28"/>
          <w:szCs w:val="28"/>
        </w:rPr>
      </w:pPr>
      <w:r w:rsidRPr="00034F7C">
        <w:rPr>
          <w:sz w:val="28"/>
          <w:szCs w:val="28"/>
        </w:rPr>
        <w:t xml:space="preserve"> ‘Dispute Resolution with the Participation of a Judge (Civil, Commercial, Administrative Jurisdictions)’;</w:t>
      </w:r>
    </w:p>
    <w:p w:rsidR="00034F7C" w:rsidRPr="00034F7C" w:rsidRDefault="00034F7C" w:rsidP="00847DB5">
      <w:pPr>
        <w:pStyle w:val="a7"/>
        <w:numPr>
          <w:ilvl w:val="0"/>
          <w:numId w:val="18"/>
        </w:numPr>
        <w:rPr>
          <w:sz w:val="28"/>
          <w:szCs w:val="28"/>
        </w:rPr>
      </w:pPr>
      <w:r w:rsidRPr="00034F7C">
        <w:rPr>
          <w:sz w:val="28"/>
          <w:szCs w:val="28"/>
        </w:rPr>
        <w:t>‘Socio-economic competence of a judge’;</w:t>
      </w:r>
    </w:p>
    <w:p w:rsidR="00034F7C" w:rsidRPr="00034F7C" w:rsidRDefault="00034F7C" w:rsidP="00847DB5">
      <w:pPr>
        <w:pStyle w:val="a7"/>
        <w:numPr>
          <w:ilvl w:val="0"/>
          <w:numId w:val="18"/>
        </w:numPr>
        <w:rPr>
          <w:sz w:val="28"/>
          <w:szCs w:val="28"/>
        </w:rPr>
      </w:pPr>
      <w:r w:rsidRPr="00034F7C">
        <w:rPr>
          <w:sz w:val="28"/>
          <w:szCs w:val="28"/>
        </w:rPr>
        <w:t>Protection of children's rights and interests in family disputes’;</w:t>
      </w:r>
    </w:p>
    <w:p w:rsidR="00034F7C" w:rsidRPr="00034F7C" w:rsidRDefault="00034F7C" w:rsidP="00847DB5">
      <w:pPr>
        <w:pStyle w:val="a7"/>
        <w:numPr>
          <w:ilvl w:val="0"/>
          <w:numId w:val="18"/>
        </w:numPr>
        <w:rPr>
          <w:sz w:val="28"/>
          <w:szCs w:val="28"/>
        </w:rPr>
      </w:pPr>
      <w:r w:rsidRPr="00034F7C">
        <w:rPr>
          <w:sz w:val="28"/>
          <w:szCs w:val="28"/>
        </w:rPr>
        <w:t>Problematic issues of proof in civil proceedings’;</w:t>
      </w:r>
    </w:p>
    <w:p w:rsidR="00034F7C" w:rsidRPr="00034F7C" w:rsidRDefault="00034F7C" w:rsidP="00847DB5">
      <w:pPr>
        <w:pStyle w:val="a7"/>
        <w:numPr>
          <w:ilvl w:val="0"/>
          <w:numId w:val="18"/>
        </w:numPr>
        <w:rPr>
          <w:sz w:val="28"/>
          <w:szCs w:val="28"/>
        </w:rPr>
      </w:pPr>
      <w:r w:rsidRPr="00034F7C">
        <w:rPr>
          <w:sz w:val="28"/>
          <w:szCs w:val="28"/>
        </w:rPr>
        <w:t>Consideration of cases of crimes against sexual freedom and sexual inviolability’;</w:t>
      </w:r>
    </w:p>
    <w:p w:rsidR="00034F7C" w:rsidRPr="00034F7C" w:rsidRDefault="00034F7C" w:rsidP="00847DB5">
      <w:pPr>
        <w:pStyle w:val="a7"/>
        <w:numPr>
          <w:ilvl w:val="0"/>
          <w:numId w:val="18"/>
        </w:numPr>
        <w:rPr>
          <w:sz w:val="28"/>
          <w:szCs w:val="28"/>
        </w:rPr>
      </w:pPr>
      <w:r w:rsidRPr="00034F7C">
        <w:rPr>
          <w:sz w:val="28"/>
          <w:szCs w:val="28"/>
        </w:rPr>
        <w:t>‘Psychological peculiarities of communication with participants of the trial who have experience of psychotraumatic influence’;</w:t>
      </w:r>
    </w:p>
    <w:p w:rsidR="00034F7C" w:rsidRPr="00034F7C" w:rsidRDefault="00034F7C" w:rsidP="00847DB5">
      <w:pPr>
        <w:pStyle w:val="a7"/>
        <w:numPr>
          <w:ilvl w:val="0"/>
          <w:numId w:val="18"/>
        </w:numPr>
        <w:rPr>
          <w:sz w:val="28"/>
          <w:szCs w:val="28"/>
        </w:rPr>
      </w:pPr>
      <w:r w:rsidRPr="00034F7C">
        <w:rPr>
          <w:sz w:val="28"/>
          <w:szCs w:val="28"/>
        </w:rPr>
        <w:lastRenderedPageBreak/>
        <w:t>‘Current issues of application of economic procedural legislation;</w:t>
      </w:r>
    </w:p>
    <w:p w:rsidR="00034F7C" w:rsidRPr="00034F7C" w:rsidRDefault="00034F7C" w:rsidP="00847DB5">
      <w:pPr>
        <w:pStyle w:val="a7"/>
        <w:numPr>
          <w:ilvl w:val="0"/>
          <w:numId w:val="18"/>
        </w:numPr>
        <w:rPr>
          <w:sz w:val="28"/>
          <w:szCs w:val="28"/>
        </w:rPr>
      </w:pPr>
      <w:r w:rsidRPr="00034F7C">
        <w:rPr>
          <w:sz w:val="28"/>
          <w:szCs w:val="28"/>
        </w:rPr>
        <w:t>‘Fundamentals of self-regulation and its role in the professional activity of a judge’;</w:t>
      </w:r>
    </w:p>
    <w:p w:rsidR="00034F7C" w:rsidRPr="00034F7C" w:rsidRDefault="00034F7C" w:rsidP="00847DB5">
      <w:pPr>
        <w:pStyle w:val="a7"/>
        <w:numPr>
          <w:ilvl w:val="0"/>
          <w:numId w:val="18"/>
        </w:numPr>
        <w:rPr>
          <w:sz w:val="28"/>
          <w:szCs w:val="28"/>
        </w:rPr>
      </w:pPr>
      <w:r w:rsidRPr="00034F7C">
        <w:rPr>
          <w:sz w:val="28"/>
          <w:szCs w:val="28"/>
        </w:rPr>
        <w:t>‘The language of the judicial and procedural sphere’;</w:t>
      </w:r>
    </w:p>
    <w:p w:rsidR="00034F7C" w:rsidRPr="00034F7C" w:rsidRDefault="00034F7C" w:rsidP="00847DB5">
      <w:pPr>
        <w:pStyle w:val="a7"/>
        <w:numPr>
          <w:ilvl w:val="0"/>
          <w:numId w:val="18"/>
        </w:numPr>
        <w:rPr>
          <w:sz w:val="28"/>
          <w:szCs w:val="28"/>
        </w:rPr>
      </w:pPr>
      <w:r w:rsidRPr="00034F7C">
        <w:rPr>
          <w:sz w:val="28"/>
          <w:szCs w:val="28"/>
        </w:rPr>
        <w:t>‘Ensuring gender equality’.</w:t>
      </w:r>
    </w:p>
    <w:p w:rsidR="00F90299" w:rsidRPr="00E02193" w:rsidRDefault="00F90299" w:rsidP="00F90299">
      <w:pPr>
        <w:pStyle w:val="a5"/>
        <w:spacing w:after="0" w:line="240" w:lineRule="auto"/>
        <w:ind w:left="360"/>
        <w:jc w:val="both"/>
        <w:rPr>
          <w:rFonts w:ascii="Times New Roman" w:eastAsia="Times New Roman" w:hAnsi="Times New Roman"/>
          <w:bCs/>
          <w:sz w:val="28"/>
          <w:szCs w:val="28"/>
          <w:lang w:eastAsia="ru-RU"/>
        </w:rPr>
      </w:pPr>
    </w:p>
    <w:p w:rsidR="00F90299" w:rsidRPr="00034F7C" w:rsidRDefault="00F90299" w:rsidP="00034F7C">
      <w:pPr>
        <w:pStyle w:val="a7"/>
        <w:rPr>
          <w:bCs/>
          <w:sz w:val="28"/>
          <w:szCs w:val="28"/>
          <w:lang w:val="en-US" w:eastAsia="ru-RU"/>
        </w:rPr>
      </w:pPr>
      <w:r w:rsidRPr="00034F7C">
        <w:rPr>
          <w:bCs/>
          <w:noProof/>
          <w:sz w:val="28"/>
          <w:szCs w:val="28"/>
        </w:rPr>
        <w:drawing>
          <wp:anchor distT="0" distB="0" distL="114300" distR="114300" simplePos="0" relativeHeight="251697152" behindDoc="0" locked="0" layoutInCell="1" allowOverlap="1">
            <wp:simplePos x="0" y="0"/>
            <wp:positionH relativeFrom="margin">
              <wp:align>right</wp:align>
            </wp:positionH>
            <wp:positionV relativeFrom="margin">
              <wp:posOffset>6218852</wp:posOffset>
            </wp:positionV>
            <wp:extent cx="2496185" cy="2018030"/>
            <wp:effectExtent l="0" t="0" r="0" b="127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26_YnVzaW5lc3MgcGhvbmUgMg.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496185" cy="2018030"/>
                    </a:xfrm>
                    <a:prstGeom prst="rect">
                      <a:avLst/>
                    </a:prstGeom>
                    <a:ln>
                      <a:noFill/>
                    </a:ln>
                    <a:effectLst>
                      <a:softEdge rad="112500"/>
                    </a:effectLst>
                  </pic:spPr>
                </pic:pic>
              </a:graphicData>
            </a:graphic>
          </wp:anchor>
        </w:drawing>
      </w:r>
      <w:r w:rsidR="00034F7C" w:rsidRPr="00034F7C">
        <w:rPr>
          <w:sz w:val="28"/>
          <w:szCs w:val="28"/>
        </w:rPr>
        <w:t xml:space="preserve"> In 2021, </w:t>
      </w:r>
      <w:r w:rsidR="00034F7C" w:rsidRPr="00034F7C">
        <w:rPr>
          <w:b/>
          <w:bCs/>
          <w:sz w:val="28"/>
          <w:szCs w:val="28"/>
        </w:rPr>
        <w:t>4 distance courses for judges</w:t>
      </w:r>
      <w:r w:rsidR="00034F7C" w:rsidRPr="00034F7C">
        <w:rPr>
          <w:sz w:val="28"/>
          <w:szCs w:val="28"/>
        </w:rPr>
        <w:t xml:space="preserve"> were conducted </w:t>
      </w:r>
      <w:r w:rsidR="00034F7C" w:rsidRPr="00034F7C">
        <w:rPr>
          <w:b/>
          <w:bCs/>
          <w:sz w:val="28"/>
          <w:szCs w:val="28"/>
        </w:rPr>
        <w:t>on the HELP platform</w:t>
      </w:r>
      <w:r w:rsidR="00034F7C" w:rsidRPr="00034F7C">
        <w:rPr>
          <w:sz w:val="28"/>
          <w:szCs w:val="28"/>
        </w:rPr>
        <w:t>, which were adapted to national legislation by judge-trainers</w:t>
      </w:r>
      <w:r w:rsidRPr="00034F7C">
        <w:rPr>
          <w:bCs/>
          <w:sz w:val="28"/>
          <w:szCs w:val="28"/>
          <w:lang w:eastAsia="ru-RU"/>
        </w:rPr>
        <w:t xml:space="preserve">: </w:t>
      </w:r>
    </w:p>
    <w:p w:rsidR="007B5CBF" w:rsidRPr="007B5CBF" w:rsidRDefault="007B5CBF" w:rsidP="00847DB5">
      <w:pPr>
        <w:pStyle w:val="a7"/>
        <w:numPr>
          <w:ilvl w:val="0"/>
          <w:numId w:val="19"/>
        </w:numPr>
        <w:rPr>
          <w:sz w:val="28"/>
          <w:szCs w:val="28"/>
        </w:rPr>
      </w:pPr>
      <w:r>
        <w:t>‘</w:t>
      </w:r>
      <w:r w:rsidRPr="007B5CBF">
        <w:rPr>
          <w:sz w:val="28"/>
          <w:szCs w:val="28"/>
        </w:rPr>
        <w:t>Introduction to Article 5. The right to liberty and security of person’;</w:t>
      </w:r>
    </w:p>
    <w:p w:rsidR="007B5CBF" w:rsidRPr="007B5CBF" w:rsidRDefault="007B5CBF" w:rsidP="00847DB5">
      <w:pPr>
        <w:pStyle w:val="a7"/>
        <w:numPr>
          <w:ilvl w:val="0"/>
          <w:numId w:val="19"/>
        </w:numPr>
        <w:rPr>
          <w:sz w:val="28"/>
          <w:szCs w:val="28"/>
        </w:rPr>
      </w:pPr>
      <w:r w:rsidRPr="007B5CBF">
        <w:rPr>
          <w:sz w:val="28"/>
          <w:szCs w:val="28"/>
        </w:rPr>
        <w:t>‘Women's Access to Justice: Implementation of the Istanbul Convention and other European Standards on Gender Equality in the Eastern Partnership Countries’;</w:t>
      </w:r>
    </w:p>
    <w:p w:rsidR="007B5CBF" w:rsidRPr="007B5CBF" w:rsidRDefault="007B5CBF" w:rsidP="00847DB5">
      <w:pPr>
        <w:pStyle w:val="a7"/>
        <w:numPr>
          <w:ilvl w:val="0"/>
          <w:numId w:val="19"/>
        </w:numPr>
        <w:rPr>
          <w:sz w:val="28"/>
          <w:szCs w:val="28"/>
        </w:rPr>
      </w:pPr>
      <w:r w:rsidRPr="007B5CBF">
        <w:rPr>
          <w:sz w:val="28"/>
          <w:szCs w:val="28"/>
        </w:rPr>
        <w:t>‘Pre-trial investigation and the ECHR’;</w:t>
      </w:r>
    </w:p>
    <w:p w:rsidR="007B5CBF" w:rsidRPr="007B5CBF" w:rsidRDefault="007B5CBF" w:rsidP="00847DB5">
      <w:pPr>
        <w:pStyle w:val="a7"/>
        <w:numPr>
          <w:ilvl w:val="0"/>
          <w:numId w:val="19"/>
        </w:numPr>
        <w:rPr>
          <w:sz w:val="28"/>
          <w:szCs w:val="28"/>
        </w:rPr>
      </w:pPr>
      <w:r w:rsidRPr="007B5CBF">
        <w:rPr>
          <w:sz w:val="28"/>
          <w:szCs w:val="28"/>
        </w:rPr>
        <w:t>‘Training course for judges: combating hate speech’.</w:t>
      </w:r>
    </w:p>
    <w:p w:rsidR="00FE1F72" w:rsidRDefault="00FE1F72" w:rsidP="00BF0D1F">
      <w:pPr>
        <w:pStyle w:val="2"/>
        <w:ind w:firstLine="66"/>
        <w:rPr>
          <w:rFonts w:ascii="Times New Roman" w:eastAsia="Times New Roman" w:hAnsi="Times New Roman" w:cs="Times New Roman"/>
          <w:b/>
          <w:color w:val="auto"/>
          <w:sz w:val="28"/>
          <w:szCs w:val="28"/>
          <w:lang w:val="uk-UA"/>
        </w:rPr>
      </w:pPr>
    </w:p>
    <w:p w:rsidR="00F90299" w:rsidRPr="00FE1F72" w:rsidRDefault="00FE1F72" w:rsidP="00FE1F72">
      <w:pPr>
        <w:pStyle w:val="a7"/>
        <w:rPr>
          <w:b/>
          <w:lang w:val="en-US"/>
        </w:rPr>
      </w:pPr>
      <w:r w:rsidRPr="00FE1F72">
        <w:rPr>
          <w:b/>
          <w:bCs/>
          <w:sz w:val="28"/>
          <w:szCs w:val="28"/>
        </w:rPr>
        <w:t>4 distance courses are in the process of development</w:t>
      </w:r>
      <w:r w:rsidR="00F90299" w:rsidRPr="00FE1F72">
        <w:rPr>
          <w:b/>
          <w:sz w:val="28"/>
          <w:szCs w:val="28"/>
          <w:lang w:val="en-US"/>
        </w:rPr>
        <w:t>:</w:t>
      </w:r>
      <w:r w:rsidR="00F90299" w:rsidRPr="00FE1F72">
        <w:rPr>
          <w:b/>
          <w:lang w:val="en-US"/>
        </w:rPr>
        <w:t xml:space="preserve"> </w:t>
      </w:r>
    </w:p>
    <w:p w:rsidR="00FE1F72" w:rsidRPr="00E326A2" w:rsidRDefault="00F90299" w:rsidP="00847DB5">
      <w:pPr>
        <w:pStyle w:val="a7"/>
        <w:numPr>
          <w:ilvl w:val="0"/>
          <w:numId w:val="20"/>
        </w:numPr>
        <w:rPr>
          <w:sz w:val="28"/>
          <w:szCs w:val="28"/>
        </w:rPr>
      </w:pPr>
      <w:r w:rsidRPr="00E326A2">
        <w:rPr>
          <w:bCs/>
          <w:sz w:val="28"/>
          <w:szCs w:val="28"/>
          <w:lang w:eastAsia="ru-RU"/>
        </w:rPr>
        <w:t>“</w:t>
      </w:r>
      <w:r w:rsidR="00FE1F72" w:rsidRPr="00E326A2">
        <w:rPr>
          <w:sz w:val="28"/>
          <w:szCs w:val="28"/>
        </w:rPr>
        <w:t>Application of international labour standards in judicial practice;</w:t>
      </w:r>
    </w:p>
    <w:p w:rsidR="00FE1F72" w:rsidRPr="00E326A2" w:rsidRDefault="00FE1F72" w:rsidP="00847DB5">
      <w:pPr>
        <w:pStyle w:val="a7"/>
        <w:numPr>
          <w:ilvl w:val="0"/>
          <w:numId w:val="20"/>
        </w:numPr>
        <w:rPr>
          <w:sz w:val="28"/>
          <w:szCs w:val="28"/>
        </w:rPr>
      </w:pPr>
      <w:r w:rsidRPr="00E326A2">
        <w:rPr>
          <w:sz w:val="28"/>
          <w:szCs w:val="28"/>
        </w:rPr>
        <w:t>Strengthening the system of protection of children in conflict with the law;</w:t>
      </w:r>
    </w:p>
    <w:p w:rsidR="00FE1F72" w:rsidRPr="00E326A2" w:rsidRDefault="00FE1F72" w:rsidP="00847DB5">
      <w:pPr>
        <w:pStyle w:val="a7"/>
        <w:numPr>
          <w:ilvl w:val="0"/>
          <w:numId w:val="20"/>
        </w:numPr>
        <w:rPr>
          <w:sz w:val="28"/>
          <w:szCs w:val="28"/>
        </w:rPr>
      </w:pPr>
      <w:r w:rsidRPr="00E326A2">
        <w:rPr>
          <w:sz w:val="28"/>
          <w:szCs w:val="28"/>
        </w:rPr>
        <w:t>Child-centred justice;</w:t>
      </w:r>
    </w:p>
    <w:p w:rsidR="00FE1F72" w:rsidRPr="00E326A2" w:rsidRDefault="00FE1F72" w:rsidP="00847DB5">
      <w:pPr>
        <w:pStyle w:val="a7"/>
        <w:numPr>
          <w:ilvl w:val="0"/>
          <w:numId w:val="20"/>
        </w:numPr>
        <w:rPr>
          <w:sz w:val="28"/>
          <w:szCs w:val="28"/>
        </w:rPr>
      </w:pPr>
      <w:r w:rsidRPr="00E326A2">
        <w:rPr>
          <w:sz w:val="28"/>
          <w:szCs w:val="28"/>
        </w:rPr>
        <w:t>Protection of property rights in civil proceedings.</w:t>
      </w:r>
    </w:p>
    <w:p w:rsidR="00FE1F72" w:rsidRPr="00E326A2" w:rsidRDefault="00FE1F72" w:rsidP="00FE1F72">
      <w:pPr>
        <w:pStyle w:val="a7"/>
        <w:rPr>
          <w:sz w:val="28"/>
          <w:szCs w:val="28"/>
        </w:rPr>
      </w:pPr>
      <w:r w:rsidRPr="00E326A2">
        <w:rPr>
          <w:b/>
          <w:bCs/>
          <w:sz w:val="28"/>
          <w:szCs w:val="28"/>
        </w:rPr>
        <w:t>Distance learning</w:t>
      </w:r>
      <w:r w:rsidRPr="00E326A2">
        <w:rPr>
          <w:sz w:val="28"/>
          <w:szCs w:val="28"/>
        </w:rPr>
        <w:t xml:space="preserve"> is also used in the training of </w:t>
      </w:r>
      <w:r w:rsidRPr="00E326A2">
        <w:rPr>
          <w:b/>
          <w:bCs/>
          <w:sz w:val="28"/>
          <w:szCs w:val="28"/>
        </w:rPr>
        <w:t>court staff</w:t>
      </w:r>
      <w:r w:rsidRPr="00E326A2">
        <w:rPr>
          <w:sz w:val="28"/>
          <w:szCs w:val="28"/>
        </w:rPr>
        <w:t xml:space="preserve">. For this target audience, the </w:t>
      </w:r>
      <w:r w:rsidRPr="00E326A2">
        <w:rPr>
          <w:b/>
          <w:bCs/>
          <w:sz w:val="28"/>
          <w:szCs w:val="28"/>
        </w:rPr>
        <w:t>materials of</w:t>
      </w:r>
      <w:r w:rsidRPr="00E326A2">
        <w:rPr>
          <w:sz w:val="28"/>
          <w:szCs w:val="28"/>
        </w:rPr>
        <w:t xml:space="preserve"> the distance learning course for court staff ‘Peculiarities of Access to Public Information in Courts and Consideration of Citizens’ Appeals’ </w:t>
      </w:r>
      <w:r w:rsidRPr="00E326A2">
        <w:rPr>
          <w:b/>
          <w:bCs/>
          <w:sz w:val="28"/>
          <w:szCs w:val="28"/>
        </w:rPr>
        <w:t>were expanded and supplemented</w:t>
      </w:r>
      <w:r w:rsidRPr="00E326A2">
        <w:rPr>
          <w:sz w:val="28"/>
          <w:szCs w:val="28"/>
        </w:rPr>
        <w:t>.</w:t>
      </w:r>
    </w:p>
    <w:p w:rsidR="00FE1F72" w:rsidRPr="00E326A2" w:rsidRDefault="00FE1F72" w:rsidP="00FE1F72">
      <w:pPr>
        <w:pStyle w:val="a7"/>
        <w:rPr>
          <w:sz w:val="28"/>
          <w:szCs w:val="28"/>
        </w:rPr>
      </w:pPr>
      <w:r w:rsidRPr="00E326A2">
        <w:rPr>
          <w:b/>
          <w:bCs/>
          <w:sz w:val="28"/>
          <w:szCs w:val="28"/>
        </w:rPr>
        <w:t>A training course</w:t>
      </w:r>
      <w:r w:rsidRPr="00E326A2">
        <w:rPr>
          <w:sz w:val="28"/>
          <w:szCs w:val="28"/>
        </w:rPr>
        <w:t xml:space="preserve"> ‘Court Activities in Emergency Situations’ was</w:t>
      </w:r>
      <w:r w:rsidRPr="00E326A2">
        <w:rPr>
          <w:b/>
          <w:bCs/>
          <w:sz w:val="28"/>
          <w:szCs w:val="28"/>
        </w:rPr>
        <w:t>developed</w:t>
      </w:r>
      <w:r w:rsidRPr="00E326A2">
        <w:rPr>
          <w:sz w:val="28"/>
          <w:szCs w:val="28"/>
        </w:rPr>
        <w:t>, tested and then approved.</w:t>
      </w:r>
    </w:p>
    <w:p w:rsidR="00FE1F72" w:rsidRPr="00E326A2" w:rsidRDefault="00FE1F72" w:rsidP="00FE1F72">
      <w:pPr>
        <w:pStyle w:val="a7"/>
        <w:rPr>
          <w:sz w:val="28"/>
          <w:szCs w:val="28"/>
        </w:rPr>
      </w:pPr>
      <w:r w:rsidRPr="00E326A2">
        <w:rPr>
          <w:b/>
          <w:bCs/>
          <w:sz w:val="28"/>
          <w:szCs w:val="28"/>
        </w:rPr>
        <w:t>A training of trainers for courses for press secretaries and public relations officers was held:</w:t>
      </w:r>
    </w:p>
    <w:p w:rsidR="00FE1F72" w:rsidRPr="00E326A2" w:rsidRDefault="00FE1F72" w:rsidP="00847DB5">
      <w:pPr>
        <w:pStyle w:val="a7"/>
        <w:numPr>
          <w:ilvl w:val="0"/>
          <w:numId w:val="21"/>
        </w:numPr>
        <w:rPr>
          <w:sz w:val="28"/>
          <w:szCs w:val="28"/>
        </w:rPr>
      </w:pPr>
      <w:r w:rsidRPr="00E326A2">
        <w:rPr>
          <w:sz w:val="28"/>
          <w:szCs w:val="28"/>
        </w:rPr>
        <w:t>News as an effective means of judicial communication’;</w:t>
      </w:r>
    </w:p>
    <w:p w:rsidR="00FE1F72" w:rsidRPr="00E326A2" w:rsidRDefault="00FE1F72" w:rsidP="00847DB5">
      <w:pPr>
        <w:pStyle w:val="a7"/>
        <w:numPr>
          <w:ilvl w:val="0"/>
          <w:numId w:val="21"/>
        </w:numPr>
        <w:rPr>
          <w:sz w:val="28"/>
          <w:szCs w:val="28"/>
        </w:rPr>
      </w:pPr>
      <w:r w:rsidRPr="00E326A2">
        <w:rPr>
          <w:sz w:val="28"/>
          <w:szCs w:val="28"/>
        </w:rPr>
        <w:t>Communications as a means of increasing trust in the justice system.</w:t>
      </w:r>
    </w:p>
    <w:p w:rsidR="00FE1F72" w:rsidRPr="00E326A2" w:rsidRDefault="00FE1F72" w:rsidP="00FE1F72">
      <w:pPr>
        <w:pStyle w:val="a7"/>
        <w:rPr>
          <w:sz w:val="28"/>
          <w:szCs w:val="28"/>
        </w:rPr>
      </w:pPr>
      <w:r w:rsidRPr="00E326A2">
        <w:rPr>
          <w:sz w:val="28"/>
          <w:szCs w:val="28"/>
        </w:rPr>
        <w:lastRenderedPageBreak/>
        <w:t>The development of a training course for press secretaries and public relations officers ‘Court in Social Media’ is in progress.</w:t>
      </w:r>
    </w:p>
    <w:p w:rsidR="006F78FD" w:rsidRPr="006F78FD" w:rsidRDefault="006F78FD" w:rsidP="006F78FD">
      <w:pPr>
        <w:pStyle w:val="a7"/>
        <w:jc w:val="both"/>
        <w:rPr>
          <w:sz w:val="28"/>
          <w:szCs w:val="28"/>
        </w:rPr>
      </w:pPr>
      <w:r w:rsidRPr="006F78FD">
        <w:rPr>
          <w:sz w:val="28"/>
          <w:szCs w:val="28"/>
        </w:rPr>
        <w:t>A new area of activity of the NSJ</w:t>
      </w:r>
      <w:r>
        <w:rPr>
          <w:sz w:val="28"/>
          <w:szCs w:val="28"/>
          <w:lang w:val="en-US"/>
        </w:rPr>
        <w:t>U</w:t>
      </w:r>
      <w:r w:rsidRPr="006F78FD">
        <w:rPr>
          <w:sz w:val="28"/>
          <w:szCs w:val="28"/>
        </w:rPr>
        <w:t xml:space="preserve"> is the training of employees of the Judicial Protection Service, a state body in the justice system whose mission is to ensure the protection and maintenance of public order in courts. Therefore, awareness and understanding of the principles of the judicial system, court proceedings, and the distribution of responsibilities and powers in court by the Court Security Service personnel is a prerequisite for the quality performance of the tasks assigned to it by the legislator.</w:t>
      </w:r>
    </w:p>
    <w:p w:rsidR="006F78FD" w:rsidRPr="006F78FD" w:rsidRDefault="006F78FD" w:rsidP="006F78FD">
      <w:pPr>
        <w:pStyle w:val="a7"/>
        <w:jc w:val="both"/>
        <w:rPr>
          <w:sz w:val="28"/>
          <w:szCs w:val="28"/>
        </w:rPr>
      </w:pPr>
      <w:r w:rsidRPr="006F78FD">
        <w:rPr>
          <w:sz w:val="28"/>
          <w:szCs w:val="28"/>
        </w:rPr>
        <w:t>Studying the training needs of the Judicial Protection Service, the National School of Judges is actively developing new courses for the Judicial Protection Service. In 2021, 3 trainings were developed, tested and implemented in the educational process:</w:t>
      </w:r>
    </w:p>
    <w:p w:rsidR="006F78FD" w:rsidRPr="006F78FD" w:rsidRDefault="006F78FD" w:rsidP="00847DB5">
      <w:pPr>
        <w:pStyle w:val="a7"/>
        <w:numPr>
          <w:ilvl w:val="0"/>
          <w:numId w:val="22"/>
        </w:numPr>
        <w:jc w:val="both"/>
        <w:rPr>
          <w:sz w:val="28"/>
          <w:szCs w:val="28"/>
        </w:rPr>
      </w:pPr>
      <w:r w:rsidRPr="006F78FD">
        <w:rPr>
          <w:sz w:val="28"/>
          <w:szCs w:val="28"/>
        </w:rPr>
        <w:t>Building an Effective Team;</w:t>
      </w:r>
    </w:p>
    <w:p w:rsidR="006F78FD" w:rsidRPr="006F78FD" w:rsidRDefault="006F78FD" w:rsidP="00847DB5">
      <w:pPr>
        <w:pStyle w:val="a7"/>
        <w:numPr>
          <w:ilvl w:val="0"/>
          <w:numId w:val="22"/>
        </w:numPr>
        <w:jc w:val="both"/>
        <w:rPr>
          <w:sz w:val="28"/>
          <w:szCs w:val="28"/>
        </w:rPr>
      </w:pPr>
      <w:r w:rsidRPr="006F78FD">
        <w:rPr>
          <w:sz w:val="28"/>
          <w:szCs w:val="28"/>
        </w:rPr>
        <w:t>Ensuring Personal Security of Judges and Their Family Members, Court Staff. Public Safety’;</w:t>
      </w:r>
    </w:p>
    <w:p w:rsidR="006F78FD" w:rsidRPr="006F78FD" w:rsidRDefault="006F78FD" w:rsidP="00847DB5">
      <w:pPr>
        <w:pStyle w:val="a7"/>
        <w:numPr>
          <w:ilvl w:val="0"/>
          <w:numId w:val="22"/>
        </w:numPr>
        <w:jc w:val="both"/>
        <w:rPr>
          <w:sz w:val="28"/>
          <w:szCs w:val="28"/>
        </w:rPr>
      </w:pPr>
      <w:r w:rsidRPr="006F78FD">
        <w:rPr>
          <w:sz w:val="28"/>
          <w:szCs w:val="28"/>
        </w:rPr>
        <w:t>Professional Ethics of Judicial Protection Service Employees’.</w:t>
      </w:r>
    </w:p>
    <w:p w:rsidR="006F78FD" w:rsidRPr="006F78FD" w:rsidRDefault="006F78FD" w:rsidP="006F78FD">
      <w:pPr>
        <w:pStyle w:val="a7"/>
        <w:jc w:val="both"/>
        <w:rPr>
          <w:sz w:val="28"/>
          <w:szCs w:val="28"/>
        </w:rPr>
      </w:pPr>
      <w:r w:rsidRPr="006F78FD">
        <w:rPr>
          <w:sz w:val="28"/>
          <w:szCs w:val="28"/>
        </w:rPr>
        <w:t>The groups that developed these courses included judges, court staff, representatives of NGOs, employees of the Court Security Service, and employees of the National School of Judges.</w:t>
      </w:r>
    </w:p>
    <w:tbl>
      <w:tblPr>
        <w:tblStyle w:val="a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64"/>
        <w:gridCol w:w="4074"/>
      </w:tblGrid>
      <w:tr w:rsidR="00F90299" w:rsidRPr="00E02193" w:rsidTr="00BF0D1F">
        <w:tc>
          <w:tcPr>
            <w:tcW w:w="3990" w:type="dxa"/>
          </w:tcPr>
          <w:p w:rsidR="00F90299" w:rsidRPr="00E02193" w:rsidRDefault="00F90299" w:rsidP="00BF0D1F">
            <w:pPr>
              <w:spacing w:before="120"/>
              <w:jc w:val="center"/>
              <w:rPr>
                <w:b/>
                <w:bCs/>
                <w:sz w:val="28"/>
                <w:szCs w:val="28"/>
                <w:lang w:eastAsia="ru-RU"/>
              </w:rPr>
            </w:pPr>
            <w:r w:rsidRPr="00E02193">
              <w:rPr>
                <w:b/>
                <w:bCs/>
                <w:noProof/>
                <w:sz w:val="28"/>
                <w:szCs w:val="28"/>
                <w:lang w:eastAsia="uk-UA"/>
              </w:rPr>
              <w:drawing>
                <wp:inline distT="0" distB="0" distL="0" distR="0">
                  <wp:extent cx="3432992" cy="204216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626520" cy="2157283"/>
                          </a:xfrm>
                          <a:prstGeom prst="rect">
                            <a:avLst/>
                          </a:prstGeom>
                          <a:noFill/>
                        </pic:spPr>
                      </pic:pic>
                    </a:graphicData>
                  </a:graphic>
                </wp:inline>
              </w:drawing>
            </w:r>
          </w:p>
        </w:tc>
        <w:tc>
          <w:tcPr>
            <w:tcW w:w="5496" w:type="dxa"/>
          </w:tcPr>
          <w:p w:rsidR="00F90299" w:rsidRPr="00E02193" w:rsidRDefault="00F90299" w:rsidP="00BF0D1F">
            <w:pPr>
              <w:spacing w:before="120"/>
              <w:jc w:val="center"/>
              <w:rPr>
                <w:b/>
                <w:bCs/>
                <w:sz w:val="28"/>
                <w:szCs w:val="28"/>
                <w:lang w:eastAsia="ru-RU"/>
              </w:rPr>
            </w:pPr>
            <w:r w:rsidRPr="00E02193">
              <w:rPr>
                <w:b/>
                <w:bCs/>
                <w:noProof/>
                <w:sz w:val="28"/>
                <w:szCs w:val="28"/>
                <w:lang w:eastAsia="uk-UA"/>
              </w:rPr>
              <w:drawing>
                <wp:inline distT="0" distB="0" distL="0" distR="0">
                  <wp:extent cx="2470509" cy="2011680"/>
                  <wp:effectExtent l="0" t="0" r="635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513636" cy="2046798"/>
                          </a:xfrm>
                          <a:prstGeom prst="rect">
                            <a:avLst/>
                          </a:prstGeom>
                          <a:noFill/>
                        </pic:spPr>
                      </pic:pic>
                    </a:graphicData>
                  </a:graphic>
                </wp:inline>
              </w:drawing>
            </w:r>
          </w:p>
        </w:tc>
      </w:tr>
    </w:tbl>
    <w:p w:rsidR="00F90299" w:rsidRPr="00E02193" w:rsidRDefault="00F90299" w:rsidP="00F90299">
      <w:pPr>
        <w:spacing w:before="120"/>
        <w:ind w:firstLine="993"/>
        <w:contextualSpacing/>
        <w:jc w:val="center"/>
        <w:rPr>
          <w:rFonts w:ascii="Times New Roman" w:hAnsi="Times New Roman" w:cs="Times New Roman"/>
          <w:b/>
          <w:sz w:val="28"/>
          <w:szCs w:val="28"/>
          <w:lang w:val="uk-UA" w:eastAsia="ru-RU"/>
        </w:rPr>
      </w:pPr>
    </w:p>
    <w:p w:rsidR="009C36A9" w:rsidRPr="00171D90" w:rsidRDefault="009C36A9" w:rsidP="009C36A9">
      <w:pPr>
        <w:pStyle w:val="a7"/>
        <w:rPr>
          <w:sz w:val="28"/>
          <w:szCs w:val="28"/>
        </w:rPr>
      </w:pPr>
      <w:r w:rsidRPr="00171D90">
        <w:rPr>
          <w:b/>
          <w:bCs/>
          <w:sz w:val="28"/>
          <w:szCs w:val="28"/>
        </w:rPr>
        <w:t>Developed:</w:t>
      </w:r>
    </w:p>
    <w:p w:rsidR="009C36A9" w:rsidRPr="009C36A9" w:rsidRDefault="009C36A9" w:rsidP="00847DB5">
      <w:pPr>
        <w:pStyle w:val="a7"/>
        <w:numPr>
          <w:ilvl w:val="0"/>
          <w:numId w:val="23"/>
        </w:numPr>
        <w:rPr>
          <w:sz w:val="28"/>
          <w:szCs w:val="28"/>
        </w:rPr>
      </w:pPr>
      <w:r w:rsidRPr="009C36A9">
        <w:rPr>
          <w:sz w:val="28"/>
          <w:szCs w:val="28"/>
        </w:rPr>
        <w:t>a series of 4 webinars for employees and lecturers of the National School of Judges of Ukraine ‘Ukrainian Word in the Dimensions of Today’;</w:t>
      </w:r>
    </w:p>
    <w:p w:rsidR="009C36A9" w:rsidRPr="009C36A9" w:rsidRDefault="009C36A9" w:rsidP="00847DB5">
      <w:pPr>
        <w:pStyle w:val="a7"/>
        <w:numPr>
          <w:ilvl w:val="0"/>
          <w:numId w:val="23"/>
        </w:numPr>
        <w:rPr>
          <w:sz w:val="28"/>
          <w:szCs w:val="28"/>
        </w:rPr>
      </w:pPr>
      <w:r w:rsidRPr="009C36A9">
        <w:rPr>
          <w:sz w:val="28"/>
          <w:szCs w:val="28"/>
        </w:rPr>
        <w:t>a series of 7 webinars ‘Topical Issues of Writing a Court Decision in Administrative Proceedings’;</w:t>
      </w:r>
    </w:p>
    <w:p w:rsidR="009C36A9" w:rsidRPr="009C36A9" w:rsidRDefault="009C36A9" w:rsidP="00847DB5">
      <w:pPr>
        <w:pStyle w:val="a7"/>
        <w:numPr>
          <w:ilvl w:val="0"/>
          <w:numId w:val="23"/>
        </w:numPr>
        <w:rPr>
          <w:sz w:val="28"/>
          <w:szCs w:val="28"/>
        </w:rPr>
      </w:pPr>
      <w:r w:rsidRPr="009C36A9">
        <w:rPr>
          <w:sz w:val="28"/>
          <w:szCs w:val="28"/>
        </w:rPr>
        <w:lastRenderedPageBreak/>
        <w:t>webinar ‘Problematic aspects arising in criminal proceedings under Articles 130 and 132 of the Criminal Code. Protection of HIV-positive persons and persons with other incurable infectious diseases’;</w:t>
      </w:r>
    </w:p>
    <w:p w:rsidR="009C36A9" w:rsidRPr="009C36A9" w:rsidRDefault="009C36A9" w:rsidP="00847DB5">
      <w:pPr>
        <w:pStyle w:val="a7"/>
        <w:numPr>
          <w:ilvl w:val="0"/>
          <w:numId w:val="23"/>
        </w:numPr>
        <w:rPr>
          <w:sz w:val="28"/>
          <w:szCs w:val="28"/>
        </w:rPr>
      </w:pPr>
      <w:r w:rsidRPr="009C36A9">
        <w:rPr>
          <w:sz w:val="28"/>
          <w:szCs w:val="28"/>
        </w:rPr>
        <w:t>webinar ‘Strengthening the child protection system in conflict with the law’.</w:t>
      </w:r>
    </w:p>
    <w:p w:rsidR="00171D90" w:rsidRPr="00171D90" w:rsidRDefault="00171D90" w:rsidP="00171D90">
      <w:pPr>
        <w:pStyle w:val="1"/>
        <w:jc w:val="center"/>
        <w:rPr>
          <w:rFonts w:cs="Times New Roman"/>
          <w:lang w:val="en-US" w:eastAsia="uk-UA"/>
        </w:rPr>
      </w:pPr>
      <w:r w:rsidRPr="00171D90">
        <w:rPr>
          <w:lang w:val="en-US"/>
        </w:rPr>
        <w:t>Workshops</w:t>
      </w:r>
    </w:p>
    <w:p w:rsidR="00171D90" w:rsidRPr="00171D90" w:rsidRDefault="00171D90" w:rsidP="00171D90">
      <w:pPr>
        <w:pStyle w:val="a7"/>
        <w:rPr>
          <w:sz w:val="28"/>
          <w:szCs w:val="28"/>
        </w:rPr>
      </w:pPr>
      <w:r w:rsidRPr="00171D90">
        <w:rPr>
          <w:sz w:val="28"/>
          <w:szCs w:val="28"/>
        </w:rPr>
        <w:t>One of the innovative forms introduced into the process of training candidates for the position of judge, judges and court staff is the workshop seminar. The development and conduct of workshops, as well as courses for judges, is carried out in compliance with the requirements set out in the Concept of National Standards of Judicial Education approved by the Scientific and Methodological Council of the National School of Judges of Ukraine (Protocol No. 5 of 23 December 2014).</w:t>
      </w:r>
    </w:p>
    <w:p w:rsidR="00171D90" w:rsidRPr="00171D90" w:rsidRDefault="00171D90" w:rsidP="00171D90">
      <w:pPr>
        <w:pStyle w:val="a7"/>
        <w:rPr>
          <w:sz w:val="28"/>
          <w:szCs w:val="28"/>
        </w:rPr>
      </w:pPr>
      <w:r w:rsidRPr="00171D90">
        <w:rPr>
          <w:sz w:val="28"/>
          <w:szCs w:val="28"/>
        </w:rPr>
        <w:t xml:space="preserve">In </w:t>
      </w:r>
      <w:r w:rsidRPr="00171D90">
        <w:rPr>
          <w:b/>
          <w:bCs/>
          <w:sz w:val="28"/>
          <w:szCs w:val="28"/>
        </w:rPr>
        <w:t>2021</w:t>
      </w:r>
      <w:r w:rsidRPr="00171D90">
        <w:rPr>
          <w:sz w:val="28"/>
          <w:szCs w:val="28"/>
        </w:rPr>
        <w:t>, the research units worked on developing workshops</w:t>
      </w:r>
      <w:r w:rsidRPr="00171D90">
        <w:rPr>
          <w:b/>
          <w:bCs/>
          <w:sz w:val="28"/>
          <w:szCs w:val="28"/>
        </w:rPr>
        <w:t xml:space="preserve"> for judicial candidates, judges, and court staff</w:t>
      </w:r>
      <w:r w:rsidRPr="00171D90">
        <w:rPr>
          <w:sz w:val="28"/>
          <w:szCs w:val="28"/>
        </w:rPr>
        <w:t>, in particular:</w:t>
      </w:r>
    </w:p>
    <w:p w:rsidR="00171D90" w:rsidRPr="00171D90" w:rsidRDefault="00171D90" w:rsidP="00847DB5">
      <w:pPr>
        <w:pStyle w:val="2"/>
        <w:numPr>
          <w:ilvl w:val="0"/>
          <w:numId w:val="24"/>
        </w:numPr>
        <w:rPr>
          <w:rFonts w:ascii="Times New Roman" w:hAnsi="Times New Roman" w:cs="Times New Roman"/>
          <w:sz w:val="28"/>
          <w:szCs w:val="28"/>
          <w:lang w:val="en-US"/>
        </w:rPr>
      </w:pPr>
      <w:r w:rsidRPr="00171D90">
        <w:rPr>
          <w:rFonts w:ascii="Times New Roman" w:hAnsi="Times New Roman" w:cs="Times New Roman"/>
          <w:sz w:val="28"/>
          <w:szCs w:val="28"/>
          <w:lang w:val="en-US"/>
        </w:rPr>
        <w:t xml:space="preserve"> 9 workshops were completed:</w:t>
      </w:r>
    </w:p>
    <w:p w:rsidR="00171D90" w:rsidRPr="00171D90" w:rsidRDefault="00171D90" w:rsidP="00847DB5">
      <w:pPr>
        <w:pStyle w:val="a7"/>
        <w:numPr>
          <w:ilvl w:val="0"/>
          <w:numId w:val="24"/>
        </w:numPr>
        <w:rPr>
          <w:sz w:val="28"/>
          <w:szCs w:val="28"/>
        </w:rPr>
      </w:pPr>
      <w:r w:rsidRPr="00171D90">
        <w:rPr>
          <w:sz w:val="28"/>
          <w:szCs w:val="28"/>
        </w:rPr>
        <w:t xml:space="preserve"> ‘Preparatory Proceedings in Administrative Court Proceedings’;</w:t>
      </w:r>
    </w:p>
    <w:p w:rsidR="00171D90" w:rsidRPr="00171D90" w:rsidRDefault="00171D90" w:rsidP="00847DB5">
      <w:pPr>
        <w:pStyle w:val="a7"/>
        <w:numPr>
          <w:ilvl w:val="0"/>
          <w:numId w:val="24"/>
        </w:numPr>
        <w:rPr>
          <w:sz w:val="28"/>
          <w:szCs w:val="28"/>
        </w:rPr>
      </w:pPr>
      <w:r w:rsidRPr="00171D90">
        <w:rPr>
          <w:sz w:val="28"/>
          <w:szCs w:val="28"/>
        </w:rPr>
        <w:t xml:space="preserve"> ‘Prosecutor's participation in administrative proceedings’;</w:t>
      </w:r>
    </w:p>
    <w:p w:rsidR="00171D90" w:rsidRPr="00171D90" w:rsidRDefault="00171D90" w:rsidP="00847DB5">
      <w:pPr>
        <w:pStyle w:val="a7"/>
        <w:numPr>
          <w:ilvl w:val="0"/>
          <w:numId w:val="24"/>
        </w:numPr>
        <w:rPr>
          <w:sz w:val="28"/>
          <w:szCs w:val="28"/>
        </w:rPr>
      </w:pPr>
      <w:r w:rsidRPr="00171D90">
        <w:rPr>
          <w:sz w:val="28"/>
          <w:szCs w:val="28"/>
        </w:rPr>
        <w:t xml:space="preserve"> ‘Language competence of a judge’;</w:t>
      </w:r>
    </w:p>
    <w:p w:rsidR="00171D90" w:rsidRPr="00171D90" w:rsidRDefault="00171D90" w:rsidP="00847DB5">
      <w:pPr>
        <w:pStyle w:val="a7"/>
        <w:numPr>
          <w:ilvl w:val="0"/>
          <w:numId w:val="24"/>
        </w:numPr>
        <w:rPr>
          <w:sz w:val="28"/>
          <w:szCs w:val="28"/>
        </w:rPr>
      </w:pPr>
      <w:r w:rsidRPr="00171D90">
        <w:rPr>
          <w:sz w:val="28"/>
          <w:szCs w:val="28"/>
        </w:rPr>
        <w:t xml:space="preserve"> ‘The role of a judge's assistant in ensuring the professional activity of a judge’;</w:t>
      </w:r>
    </w:p>
    <w:p w:rsidR="00171D90" w:rsidRPr="00171D90" w:rsidRDefault="00171D90" w:rsidP="00847DB5">
      <w:pPr>
        <w:pStyle w:val="a7"/>
        <w:numPr>
          <w:ilvl w:val="0"/>
          <w:numId w:val="24"/>
        </w:numPr>
        <w:rPr>
          <w:sz w:val="28"/>
          <w:szCs w:val="28"/>
        </w:rPr>
      </w:pPr>
      <w:r w:rsidRPr="00171D90">
        <w:rPr>
          <w:sz w:val="28"/>
          <w:szCs w:val="28"/>
        </w:rPr>
        <w:t xml:space="preserve"> ‘The art of legal writing and procedural documentation’;</w:t>
      </w:r>
    </w:p>
    <w:p w:rsidR="00171D90" w:rsidRPr="00171D90" w:rsidRDefault="00171D90" w:rsidP="00847DB5">
      <w:pPr>
        <w:pStyle w:val="a7"/>
        <w:numPr>
          <w:ilvl w:val="0"/>
          <w:numId w:val="24"/>
        </w:numPr>
        <w:rPr>
          <w:sz w:val="28"/>
          <w:szCs w:val="28"/>
        </w:rPr>
      </w:pPr>
      <w:r w:rsidRPr="00171D90">
        <w:rPr>
          <w:sz w:val="28"/>
          <w:szCs w:val="28"/>
        </w:rPr>
        <w:t xml:space="preserve"> ‘Peculiarities of application of special confiscation by the courts of Ukraine’;</w:t>
      </w:r>
    </w:p>
    <w:p w:rsidR="00171D90" w:rsidRPr="00171D90" w:rsidRDefault="00171D90" w:rsidP="00847DB5">
      <w:pPr>
        <w:pStyle w:val="a7"/>
        <w:numPr>
          <w:ilvl w:val="0"/>
          <w:numId w:val="24"/>
        </w:numPr>
        <w:rPr>
          <w:sz w:val="28"/>
          <w:szCs w:val="28"/>
        </w:rPr>
      </w:pPr>
      <w:r w:rsidRPr="00171D90">
        <w:rPr>
          <w:sz w:val="28"/>
          <w:szCs w:val="28"/>
        </w:rPr>
        <w:t xml:space="preserve"> ‘Psychological examination in civil proceedings’;</w:t>
      </w:r>
    </w:p>
    <w:p w:rsidR="00171D90" w:rsidRPr="00171D90" w:rsidRDefault="00171D90" w:rsidP="00847DB5">
      <w:pPr>
        <w:pStyle w:val="a7"/>
        <w:numPr>
          <w:ilvl w:val="0"/>
          <w:numId w:val="24"/>
        </w:numPr>
        <w:rPr>
          <w:sz w:val="28"/>
          <w:szCs w:val="28"/>
        </w:rPr>
      </w:pPr>
      <w:r w:rsidRPr="00171D90">
        <w:rPr>
          <w:sz w:val="28"/>
          <w:szCs w:val="28"/>
        </w:rPr>
        <w:t xml:space="preserve"> ‘Civil action in criminal proceedings’;</w:t>
      </w:r>
    </w:p>
    <w:p w:rsidR="00171D90" w:rsidRPr="00171D90" w:rsidRDefault="00171D90" w:rsidP="00847DB5">
      <w:pPr>
        <w:pStyle w:val="a7"/>
        <w:numPr>
          <w:ilvl w:val="0"/>
          <w:numId w:val="24"/>
        </w:numPr>
        <w:rPr>
          <w:sz w:val="28"/>
          <w:szCs w:val="28"/>
        </w:rPr>
      </w:pPr>
      <w:r w:rsidRPr="00171D90">
        <w:rPr>
          <w:sz w:val="28"/>
          <w:szCs w:val="28"/>
        </w:rPr>
        <w:t xml:space="preserve"> ‘Ensuring human rights standards under Article 5 of the ECHR when reviewing decisions of investigating judges and courts on appeal’.</w:t>
      </w:r>
    </w:p>
    <w:p w:rsidR="00171D90" w:rsidRPr="00171D90" w:rsidRDefault="00171D90" w:rsidP="00171D90">
      <w:pPr>
        <w:pStyle w:val="2"/>
        <w:rPr>
          <w:rFonts w:ascii="Times New Roman" w:hAnsi="Times New Roman" w:cs="Times New Roman"/>
          <w:sz w:val="28"/>
          <w:szCs w:val="28"/>
          <w:lang w:val="en-US"/>
        </w:rPr>
      </w:pPr>
      <w:r w:rsidRPr="00171D90">
        <w:rPr>
          <w:rFonts w:ascii="Times New Roman" w:hAnsi="Times New Roman" w:cs="Times New Roman"/>
          <w:sz w:val="28"/>
          <w:szCs w:val="28"/>
          <w:lang w:val="en-US"/>
        </w:rPr>
        <w:t>Two workshops are in the process of development:</w:t>
      </w:r>
    </w:p>
    <w:p w:rsidR="00171D90" w:rsidRPr="00171D90" w:rsidRDefault="00171D90" w:rsidP="00847DB5">
      <w:pPr>
        <w:pStyle w:val="a7"/>
        <w:numPr>
          <w:ilvl w:val="0"/>
          <w:numId w:val="25"/>
        </w:numPr>
        <w:rPr>
          <w:sz w:val="28"/>
          <w:szCs w:val="28"/>
        </w:rPr>
      </w:pPr>
      <w:r w:rsidRPr="00171D90">
        <w:rPr>
          <w:sz w:val="28"/>
          <w:szCs w:val="28"/>
        </w:rPr>
        <w:t xml:space="preserve"> ‘Interpretation of legal provisions in administrative proceedings’;</w:t>
      </w:r>
    </w:p>
    <w:p w:rsidR="00171D90" w:rsidRPr="00171D90" w:rsidRDefault="00171D90" w:rsidP="00847DB5">
      <w:pPr>
        <w:pStyle w:val="a7"/>
        <w:numPr>
          <w:ilvl w:val="0"/>
          <w:numId w:val="25"/>
        </w:numPr>
        <w:rPr>
          <w:sz w:val="28"/>
          <w:szCs w:val="28"/>
        </w:rPr>
      </w:pPr>
      <w:r w:rsidRPr="00171D90">
        <w:rPr>
          <w:sz w:val="28"/>
          <w:szCs w:val="28"/>
        </w:rPr>
        <w:t xml:space="preserve"> ‘Judicial control over the enforcement of decisions: current issues and ways to improve’.</w:t>
      </w:r>
    </w:p>
    <w:p w:rsidR="00171D90" w:rsidRPr="00171D90" w:rsidRDefault="00171D90" w:rsidP="00171D90">
      <w:pPr>
        <w:pStyle w:val="2"/>
        <w:rPr>
          <w:rFonts w:ascii="Times New Roman" w:hAnsi="Times New Roman" w:cs="Times New Roman"/>
          <w:sz w:val="28"/>
          <w:szCs w:val="28"/>
          <w:lang w:val="en-US"/>
        </w:rPr>
      </w:pPr>
      <w:r w:rsidRPr="00171D90">
        <w:rPr>
          <w:rFonts w:ascii="Times New Roman" w:hAnsi="Times New Roman" w:cs="Times New Roman"/>
          <w:sz w:val="28"/>
          <w:szCs w:val="28"/>
          <w:lang w:val="en-US"/>
        </w:rPr>
        <w:t>Seven workshops were tested:</w:t>
      </w:r>
    </w:p>
    <w:p w:rsidR="00171D90" w:rsidRPr="00171D90" w:rsidRDefault="00171D90" w:rsidP="00847DB5">
      <w:pPr>
        <w:pStyle w:val="a7"/>
        <w:numPr>
          <w:ilvl w:val="0"/>
          <w:numId w:val="26"/>
        </w:numPr>
        <w:rPr>
          <w:sz w:val="28"/>
          <w:szCs w:val="28"/>
        </w:rPr>
      </w:pPr>
      <w:r w:rsidRPr="00171D90">
        <w:rPr>
          <w:sz w:val="28"/>
          <w:szCs w:val="28"/>
        </w:rPr>
        <w:t>‘Ensuring human rights standards under Article 5 of the ECHR when reviewing decisions of investigating judges and the court on appeal’;</w:t>
      </w:r>
    </w:p>
    <w:p w:rsidR="00171D90" w:rsidRPr="00171D90" w:rsidRDefault="00171D90" w:rsidP="00847DB5">
      <w:pPr>
        <w:pStyle w:val="a7"/>
        <w:numPr>
          <w:ilvl w:val="0"/>
          <w:numId w:val="26"/>
        </w:numPr>
        <w:rPr>
          <w:sz w:val="28"/>
          <w:szCs w:val="28"/>
        </w:rPr>
      </w:pPr>
      <w:r w:rsidRPr="00171D90">
        <w:rPr>
          <w:sz w:val="28"/>
          <w:szCs w:val="28"/>
        </w:rPr>
        <w:t>‘Preparatory proceedings in administrative proceedings’;</w:t>
      </w:r>
    </w:p>
    <w:p w:rsidR="00171D90" w:rsidRPr="00171D90" w:rsidRDefault="00171D90" w:rsidP="00847DB5">
      <w:pPr>
        <w:pStyle w:val="a7"/>
        <w:numPr>
          <w:ilvl w:val="0"/>
          <w:numId w:val="26"/>
        </w:numPr>
        <w:rPr>
          <w:sz w:val="28"/>
          <w:szCs w:val="28"/>
        </w:rPr>
      </w:pPr>
      <w:r w:rsidRPr="00171D90">
        <w:rPr>
          <w:sz w:val="28"/>
          <w:szCs w:val="28"/>
        </w:rPr>
        <w:t>‘Civil action in criminal proceedings’;</w:t>
      </w:r>
    </w:p>
    <w:p w:rsidR="00171D90" w:rsidRPr="00171D90" w:rsidRDefault="00171D90" w:rsidP="00847DB5">
      <w:pPr>
        <w:pStyle w:val="a7"/>
        <w:numPr>
          <w:ilvl w:val="0"/>
          <w:numId w:val="26"/>
        </w:numPr>
        <w:rPr>
          <w:sz w:val="28"/>
          <w:szCs w:val="28"/>
        </w:rPr>
      </w:pPr>
      <w:r w:rsidRPr="00171D90">
        <w:rPr>
          <w:sz w:val="28"/>
          <w:szCs w:val="28"/>
        </w:rPr>
        <w:t>‘The role of a judge's assistant in ensuring the professional activity of a judge’;</w:t>
      </w:r>
    </w:p>
    <w:p w:rsidR="00171D90" w:rsidRPr="00171D90" w:rsidRDefault="00171D90" w:rsidP="00847DB5">
      <w:pPr>
        <w:pStyle w:val="a7"/>
        <w:numPr>
          <w:ilvl w:val="0"/>
          <w:numId w:val="26"/>
        </w:numPr>
        <w:rPr>
          <w:sz w:val="28"/>
          <w:szCs w:val="28"/>
        </w:rPr>
      </w:pPr>
      <w:r w:rsidRPr="00171D90">
        <w:rPr>
          <w:sz w:val="28"/>
          <w:szCs w:val="28"/>
        </w:rPr>
        <w:t>‘Judicial discretion in administrative proceedings’;</w:t>
      </w:r>
    </w:p>
    <w:p w:rsidR="00171D90" w:rsidRPr="00171D90" w:rsidRDefault="00171D90" w:rsidP="00847DB5">
      <w:pPr>
        <w:pStyle w:val="a7"/>
        <w:numPr>
          <w:ilvl w:val="0"/>
          <w:numId w:val="26"/>
        </w:numPr>
        <w:rPr>
          <w:sz w:val="28"/>
          <w:szCs w:val="28"/>
        </w:rPr>
      </w:pPr>
      <w:r w:rsidRPr="00171D90">
        <w:rPr>
          <w:sz w:val="28"/>
          <w:szCs w:val="28"/>
        </w:rPr>
        <w:lastRenderedPageBreak/>
        <w:t>‘Psychological examination in civil proceedings’;</w:t>
      </w:r>
    </w:p>
    <w:p w:rsidR="00171D90" w:rsidRPr="00171D90" w:rsidRDefault="00171D90" w:rsidP="00847DB5">
      <w:pPr>
        <w:pStyle w:val="a7"/>
        <w:numPr>
          <w:ilvl w:val="0"/>
          <w:numId w:val="26"/>
        </w:numPr>
        <w:rPr>
          <w:sz w:val="28"/>
          <w:szCs w:val="28"/>
        </w:rPr>
      </w:pPr>
      <w:r w:rsidRPr="00171D90">
        <w:rPr>
          <w:sz w:val="28"/>
          <w:szCs w:val="28"/>
        </w:rPr>
        <w:t>‘Peculiarities of application of special confiscation by the courts of Ukraine’.</w:t>
      </w:r>
    </w:p>
    <w:p w:rsidR="00171D90" w:rsidRPr="00171D90" w:rsidRDefault="00171D90" w:rsidP="00171D90">
      <w:pPr>
        <w:pStyle w:val="a7"/>
        <w:rPr>
          <w:sz w:val="28"/>
          <w:szCs w:val="28"/>
        </w:rPr>
      </w:pPr>
      <w:r w:rsidRPr="00171D90">
        <w:rPr>
          <w:sz w:val="28"/>
          <w:szCs w:val="28"/>
        </w:rPr>
        <w:t>The TOT was conducted following the workshop ‘Judicial Discretion in Administrative Proceedings’.</w:t>
      </w:r>
    </w:p>
    <w:p w:rsidR="00171D90" w:rsidRPr="00171D90" w:rsidRDefault="00171D90" w:rsidP="00171D90">
      <w:pPr>
        <w:pStyle w:val="1"/>
        <w:rPr>
          <w:rFonts w:ascii="Times New Roman" w:hAnsi="Times New Roman" w:cs="Times New Roman"/>
          <w:lang w:val="en-US"/>
        </w:rPr>
      </w:pPr>
      <w:r w:rsidRPr="00171D90">
        <w:rPr>
          <w:rFonts w:ascii="Times New Roman" w:hAnsi="Times New Roman" w:cs="Times New Roman"/>
          <w:lang w:val="en-US"/>
        </w:rPr>
        <w:t>Standardised lectures for judges</w:t>
      </w:r>
    </w:p>
    <w:p w:rsidR="00171D90" w:rsidRPr="00171D90" w:rsidRDefault="00171D90" w:rsidP="00171D90">
      <w:pPr>
        <w:pStyle w:val="a7"/>
        <w:rPr>
          <w:sz w:val="28"/>
          <w:szCs w:val="28"/>
        </w:rPr>
      </w:pPr>
      <w:r w:rsidRPr="00171D90">
        <w:rPr>
          <w:b/>
          <w:bCs/>
          <w:sz w:val="28"/>
          <w:szCs w:val="28"/>
        </w:rPr>
        <w:t>39 standardised lectures were prepared for judicial candidates, judges and court staff:</w:t>
      </w:r>
    </w:p>
    <w:p w:rsidR="00171D90" w:rsidRPr="00171D90" w:rsidRDefault="00171D90" w:rsidP="00847DB5">
      <w:pPr>
        <w:pStyle w:val="a7"/>
        <w:numPr>
          <w:ilvl w:val="0"/>
          <w:numId w:val="27"/>
        </w:numPr>
        <w:rPr>
          <w:sz w:val="28"/>
          <w:szCs w:val="28"/>
        </w:rPr>
      </w:pPr>
      <w:r w:rsidRPr="00171D90">
        <w:rPr>
          <w:sz w:val="28"/>
          <w:szCs w:val="28"/>
        </w:rPr>
        <w:t>‘Violation of the rules of road safety or operation of transport by persons driving vehicles (Article 286 of the Criminal Code). Peculiarities of qualification and corpus delicti’;</w:t>
      </w:r>
    </w:p>
    <w:p w:rsidR="00171D90" w:rsidRPr="00171D90" w:rsidRDefault="00171D90" w:rsidP="00847DB5">
      <w:pPr>
        <w:pStyle w:val="a7"/>
        <w:numPr>
          <w:ilvl w:val="0"/>
          <w:numId w:val="27"/>
        </w:numPr>
        <w:rPr>
          <w:sz w:val="28"/>
          <w:szCs w:val="28"/>
        </w:rPr>
      </w:pPr>
      <w:r w:rsidRPr="00171D90">
        <w:rPr>
          <w:sz w:val="28"/>
          <w:szCs w:val="28"/>
        </w:rPr>
        <w:t>‘Fulfilment by the investigating judge of the duties to protect human rights under Article 206 of the CPC of Ukraine’;</w:t>
      </w:r>
    </w:p>
    <w:p w:rsidR="00171D90" w:rsidRPr="00171D90" w:rsidRDefault="00171D90" w:rsidP="00847DB5">
      <w:pPr>
        <w:pStyle w:val="a7"/>
        <w:numPr>
          <w:ilvl w:val="0"/>
          <w:numId w:val="27"/>
        </w:numPr>
        <w:rPr>
          <w:sz w:val="28"/>
          <w:szCs w:val="28"/>
        </w:rPr>
      </w:pPr>
      <w:r w:rsidRPr="00171D90">
        <w:rPr>
          <w:sz w:val="28"/>
          <w:szCs w:val="28"/>
        </w:rPr>
        <w:t>Consideration of criminal proceedings related to human trafficking by courts;</w:t>
      </w:r>
    </w:p>
    <w:p w:rsidR="00171D90" w:rsidRPr="00171D90" w:rsidRDefault="00171D90" w:rsidP="00847DB5">
      <w:pPr>
        <w:pStyle w:val="a7"/>
        <w:numPr>
          <w:ilvl w:val="0"/>
          <w:numId w:val="27"/>
        </w:numPr>
        <w:rPr>
          <w:sz w:val="28"/>
          <w:szCs w:val="28"/>
        </w:rPr>
      </w:pPr>
      <w:r w:rsidRPr="00171D90">
        <w:rPr>
          <w:sz w:val="28"/>
          <w:szCs w:val="28"/>
        </w:rPr>
        <w:t>‘Sentencing in criminal cases’;</w:t>
      </w:r>
    </w:p>
    <w:p w:rsidR="00171D90" w:rsidRPr="00171D90" w:rsidRDefault="00171D90" w:rsidP="00847DB5">
      <w:pPr>
        <w:pStyle w:val="a7"/>
        <w:numPr>
          <w:ilvl w:val="0"/>
          <w:numId w:val="27"/>
        </w:numPr>
        <w:rPr>
          <w:sz w:val="28"/>
          <w:szCs w:val="28"/>
        </w:rPr>
      </w:pPr>
      <w:r w:rsidRPr="00171D90">
        <w:rPr>
          <w:sz w:val="28"/>
          <w:szCs w:val="28"/>
        </w:rPr>
        <w:t>‘Limits of judicial discretion from the perspective of the European Court of Human Rights’;</w:t>
      </w:r>
    </w:p>
    <w:p w:rsidR="00171D90" w:rsidRPr="00171D90" w:rsidRDefault="00171D90" w:rsidP="00847DB5">
      <w:pPr>
        <w:pStyle w:val="a7"/>
        <w:numPr>
          <w:ilvl w:val="0"/>
          <w:numId w:val="27"/>
        </w:numPr>
        <w:rPr>
          <w:sz w:val="28"/>
          <w:szCs w:val="28"/>
        </w:rPr>
      </w:pPr>
      <w:r w:rsidRPr="00171D90">
        <w:rPr>
          <w:sz w:val="28"/>
          <w:szCs w:val="28"/>
        </w:rPr>
        <w:t>‘The right to a fair trial: the case-law of the European Court of Human Rights in relation to Ukraine (Articles 6, 8 of Protocol 1 of the Convention)’;</w:t>
      </w:r>
    </w:p>
    <w:p w:rsidR="00171D90" w:rsidRPr="00171D90" w:rsidRDefault="00171D90" w:rsidP="00847DB5">
      <w:pPr>
        <w:pStyle w:val="a7"/>
        <w:numPr>
          <w:ilvl w:val="0"/>
          <w:numId w:val="27"/>
        </w:numPr>
        <w:rPr>
          <w:sz w:val="28"/>
          <w:szCs w:val="28"/>
        </w:rPr>
      </w:pPr>
      <w:r w:rsidRPr="00171D90">
        <w:rPr>
          <w:sz w:val="28"/>
          <w:szCs w:val="28"/>
        </w:rPr>
        <w:t>‘The institution of judge's challenge in administrative proceedings’;</w:t>
      </w:r>
    </w:p>
    <w:p w:rsidR="00171D90" w:rsidRPr="00171D90" w:rsidRDefault="00171D90" w:rsidP="00847DB5">
      <w:pPr>
        <w:pStyle w:val="a7"/>
        <w:numPr>
          <w:ilvl w:val="0"/>
          <w:numId w:val="27"/>
        </w:numPr>
        <w:rPr>
          <w:sz w:val="28"/>
          <w:szCs w:val="28"/>
        </w:rPr>
      </w:pPr>
      <w:r w:rsidRPr="00171D90">
        <w:rPr>
          <w:sz w:val="28"/>
          <w:szCs w:val="28"/>
        </w:rPr>
        <w:t>‘Judicial control over the exercise of discretionary powers by administrative authorities in the field of architecture, urban planning and land relations’;</w:t>
      </w:r>
    </w:p>
    <w:p w:rsidR="00171D90" w:rsidRPr="00171D90" w:rsidRDefault="00171D90" w:rsidP="00847DB5">
      <w:pPr>
        <w:pStyle w:val="a7"/>
        <w:numPr>
          <w:ilvl w:val="0"/>
          <w:numId w:val="27"/>
        </w:numPr>
        <w:rPr>
          <w:sz w:val="28"/>
          <w:szCs w:val="28"/>
        </w:rPr>
      </w:pPr>
      <w:r w:rsidRPr="00171D90">
        <w:rPr>
          <w:sz w:val="28"/>
          <w:szCs w:val="28"/>
        </w:rPr>
        <w:t>‘Problematic issues of civil service’;</w:t>
      </w:r>
    </w:p>
    <w:p w:rsidR="00171D90" w:rsidRPr="00171D90" w:rsidRDefault="00171D90" w:rsidP="00847DB5">
      <w:pPr>
        <w:pStyle w:val="a7"/>
        <w:numPr>
          <w:ilvl w:val="0"/>
          <w:numId w:val="27"/>
        </w:numPr>
        <w:rPr>
          <w:sz w:val="28"/>
          <w:szCs w:val="28"/>
        </w:rPr>
      </w:pPr>
      <w:r w:rsidRPr="00171D90">
        <w:rPr>
          <w:sz w:val="28"/>
          <w:szCs w:val="28"/>
        </w:rPr>
        <w:t>Peculiarities of tax accounting and accounting policy in administrative cases;</w:t>
      </w:r>
    </w:p>
    <w:p w:rsidR="00171D90" w:rsidRPr="00171D90" w:rsidRDefault="00171D90" w:rsidP="00847DB5">
      <w:pPr>
        <w:pStyle w:val="a7"/>
        <w:numPr>
          <w:ilvl w:val="0"/>
          <w:numId w:val="27"/>
        </w:numPr>
        <w:rPr>
          <w:sz w:val="28"/>
          <w:szCs w:val="28"/>
        </w:rPr>
      </w:pPr>
      <w:r w:rsidRPr="00171D90">
        <w:rPr>
          <w:sz w:val="28"/>
          <w:szCs w:val="28"/>
        </w:rPr>
        <w:t>Administrative disputes in tax legislation;</w:t>
      </w:r>
    </w:p>
    <w:p w:rsidR="00171D90" w:rsidRPr="00171D90" w:rsidRDefault="00171D90" w:rsidP="00847DB5">
      <w:pPr>
        <w:pStyle w:val="a7"/>
        <w:numPr>
          <w:ilvl w:val="0"/>
          <w:numId w:val="27"/>
        </w:numPr>
        <w:rPr>
          <w:sz w:val="28"/>
          <w:szCs w:val="28"/>
        </w:rPr>
      </w:pPr>
      <w:r w:rsidRPr="00171D90">
        <w:rPr>
          <w:sz w:val="28"/>
          <w:szCs w:val="28"/>
        </w:rPr>
        <w:t>Representation in administrative proceedings;</w:t>
      </w:r>
    </w:p>
    <w:p w:rsidR="00171D90" w:rsidRPr="00171D90" w:rsidRDefault="00171D90" w:rsidP="00847DB5">
      <w:pPr>
        <w:pStyle w:val="a7"/>
        <w:numPr>
          <w:ilvl w:val="0"/>
          <w:numId w:val="27"/>
        </w:numPr>
        <w:rPr>
          <w:sz w:val="28"/>
          <w:szCs w:val="28"/>
        </w:rPr>
      </w:pPr>
      <w:r w:rsidRPr="00171D90">
        <w:rPr>
          <w:sz w:val="28"/>
          <w:szCs w:val="28"/>
        </w:rPr>
        <w:t>‘Certain issues of consideration of cases on civil protection and labour protection’;</w:t>
      </w:r>
    </w:p>
    <w:p w:rsidR="00171D90" w:rsidRPr="00171D90" w:rsidRDefault="00171D90" w:rsidP="00847DB5">
      <w:pPr>
        <w:pStyle w:val="a7"/>
        <w:numPr>
          <w:ilvl w:val="0"/>
          <w:numId w:val="27"/>
        </w:numPr>
        <w:rPr>
          <w:sz w:val="28"/>
          <w:szCs w:val="28"/>
        </w:rPr>
      </w:pPr>
      <w:r w:rsidRPr="00171D90">
        <w:rPr>
          <w:sz w:val="28"/>
          <w:szCs w:val="28"/>
        </w:rPr>
        <w:t>‘Problematic issues of civil proceedings in the court of first instance’;</w:t>
      </w:r>
    </w:p>
    <w:p w:rsidR="00171D90" w:rsidRPr="00171D90" w:rsidRDefault="00171D90" w:rsidP="00847DB5">
      <w:pPr>
        <w:pStyle w:val="a7"/>
        <w:numPr>
          <w:ilvl w:val="0"/>
          <w:numId w:val="27"/>
        </w:numPr>
        <w:rPr>
          <w:sz w:val="28"/>
          <w:szCs w:val="28"/>
        </w:rPr>
      </w:pPr>
      <w:r w:rsidRPr="00171D90">
        <w:rPr>
          <w:sz w:val="28"/>
          <w:szCs w:val="28"/>
        </w:rPr>
        <w:t>‘Access to public information in the light of the Council of Europe Convention on Access to Official Documents and national legislation’;</w:t>
      </w:r>
    </w:p>
    <w:p w:rsidR="00171D90" w:rsidRPr="00171D90" w:rsidRDefault="00171D90" w:rsidP="00847DB5">
      <w:pPr>
        <w:pStyle w:val="a7"/>
        <w:numPr>
          <w:ilvl w:val="0"/>
          <w:numId w:val="27"/>
        </w:numPr>
        <w:rPr>
          <w:sz w:val="28"/>
          <w:szCs w:val="28"/>
        </w:rPr>
      </w:pPr>
      <w:r w:rsidRPr="00171D90">
        <w:rPr>
          <w:sz w:val="28"/>
          <w:szCs w:val="28"/>
        </w:rPr>
        <w:t>‘Judicial practice of consideration of cases with the participation of a representative of the authorised probation body’;</w:t>
      </w:r>
    </w:p>
    <w:p w:rsidR="00171D90" w:rsidRPr="00171D90" w:rsidRDefault="00171D90" w:rsidP="00847DB5">
      <w:pPr>
        <w:pStyle w:val="a7"/>
        <w:numPr>
          <w:ilvl w:val="0"/>
          <w:numId w:val="27"/>
        </w:numPr>
        <w:rPr>
          <w:sz w:val="28"/>
          <w:szCs w:val="28"/>
        </w:rPr>
      </w:pPr>
      <w:r w:rsidRPr="00171D90">
        <w:rPr>
          <w:sz w:val="28"/>
          <w:szCs w:val="28"/>
        </w:rPr>
        <w:t>‘Etiquette of official correspondence’;</w:t>
      </w:r>
    </w:p>
    <w:p w:rsidR="00171D90" w:rsidRPr="00171D90" w:rsidRDefault="00171D90" w:rsidP="00847DB5">
      <w:pPr>
        <w:pStyle w:val="a7"/>
        <w:numPr>
          <w:ilvl w:val="0"/>
          <w:numId w:val="27"/>
        </w:numPr>
        <w:rPr>
          <w:sz w:val="28"/>
          <w:szCs w:val="28"/>
        </w:rPr>
      </w:pPr>
      <w:r w:rsidRPr="00171D90">
        <w:rPr>
          <w:sz w:val="28"/>
          <w:szCs w:val="28"/>
        </w:rPr>
        <w:t>‘Court proceedings on criminal offences’;</w:t>
      </w:r>
    </w:p>
    <w:p w:rsidR="00171D90" w:rsidRPr="00171D90" w:rsidRDefault="00171D90" w:rsidP="00847DB5">
      <w:pPr>
        <w:pStyle w:val="a7"/>
        <w:numPr>
          <w:ilvl w:val="0"/>
          <w:numId w:val="27"/>
        </w:numPr>
        <w:rPr>
          <w:sz w:val="28"/>
          <w:szCs w:val="28"/>
        </w:rPr>
      </w:pPr>
      <w:r w:rsidRPr="00171D90">
        <w:rPr>
          <w:sz w:val="28"/>
          <w:szCs w:val="28"/>
        </w:rPr>
        <w:t>Seizure of property in the activities of an investigating judge;</w:t>
      </w:r>
    </w:p>
    <w:p w:rsidR="00171D90" w:rsidRPr="00171D90" w:rsidRDefault="00171D90" w:rsidP="00847DB5">
      <w:pPr>
        <w:pStyle w:val="a7"/>
        <w:numPr>
          <w:ilvl w:val="0"/>
          <w:numId w:val="27"/>
        </w:numPr>
        <w:rPr>
          <w:sz w:val="28"/>
          <w:szCs w:val="28"/>
        </w:rPr>
      </w:pPr>
      <w:r w:rsidRPr="00171D90">
        <w:rPr>
          <w:sz w:val="28"/>
          <w:szCs w:val="28"/>
        </w:rPr>
        <w:t>‘Topical issues of granting permission by the investigating judge to conduct a search, inspection and temporary access to things and documents’;</w:t>
      </w:r>
    </w:p>
    <w:p w:rsidR="00171D90" w:rsidRPr="00171D90" w:rsidRDefault="00171D90" w:rsidP="00847DB5">
      <w:pPr>
        <w:pStyle w:val="a7"/>
        <w:numPr>
          <w:ilvl w:val="0"/>
          <w:numId w:val="27"/>
        </w:numPr>
        <w:rPr>
          <w:sz w:val="28"/>
          <w:szCs w:val="28"/>
        </w:rPr>
      </w:pPr>
      <w:r w:rsidRPr="00171D90">
        <w:rPr>
          <w:sz w:val="28"/>
          <w:szCs w:val="28"/>
        </w:rPr>
        <w:t>‘Release from punishment and its serving’;</w:t>
      </w:r>
    </w:p>
    <w:p w:rsidR="00171D90" w:rsidRPr="00171D90" w:rsidRDefault="00171D90" w:rsidP="00847DB5">
      <w:pPr>
        <w:pStyle w:val="a7"/>
        <w:numPr>
          <w:ilvl w:val="0"/>
          <w:numId w:val="27"/>
        </w:numPr>
        <w:rPr>
          <w:sz w:val="28"/>
          <w:szCs w:val="28"/>
        </w:rPr>
      </w:pPr>
      <w:r w:rsidRPr="00171D90">
        <w:rPr>
          <w:sz w:val="28"/>
          <w:szCs w:val="28"/>
        </w:rPr>
        <w:t>Judicial review of criminal proceedings on combating money laundering;</w:t>
      </w:r>
    </w:p>
    <w:p w:rsidR="00171D90" w:rsidRPr="00171D90" w:rsidRDefault="00171D90" w:rsidP="00847DB5">
      <w:pPr>
        <w:pStyle w:val="a7"/>
        <w:numPr>
          <w:ilvl w:val="0"/>
          <w:numId w:val="27"/>
        </w:numPr>
        <w:rPr>
          <w:sz w:val="28"/>
          <w:szCs w:val="28"/>
        </w:rPr>
      </w:pPr>
      <w:r w:rsidRPr="00171D90">
        <w:rPr>
          <w:sz w:val="28"/>
          <w:szCs w:val="28"/>
        </w:rPr>
        <w:lastRenderedPageBreak/>
        <w:t>‘Undisputed civil proceedings’;</w:t>
      </w:r>
    </w:p>
    <w:p w:rsidR="00171D90" w:rsidRPr="00171D90" w:rsidRDefault="00171D90" w:rsidP="00847DB5">
      <w:pPr>
        <w:pStyle w:val="a7"/>
        <w:numPr>
          <w:ilvl w:val="0"/>
          <w:numId w:val="27"/>
        </w:numPr>
        <w:rPr>
          <w:sz w:val="28"/>
          <w:szCs w:val="28"/>
        </w:rPr>
      </w:pPr>
      <w:r w:rsidRPr="00171D90">
        <w:rPr>
          <w:sz w:val="28"/>
          <w:szCs w:val="28"/>
        </w:rPr>
        <w:t>‘Problematic issues of consideration of cases on the division of marital property’;</w:t>
      </w:r>
    </w:p>
    <w:p w:rsidR="00171D90" w:rsidRPr="00171D90" w:rsidRDefault="00171D90" w:rsidP="00847DB5">
      <w:pPr>
        <w:pStyle w:val="a7"/>
        <w:numPr>
          <w:ilvl w:val="0"/>
          <w:numId w:val="27"/>
        </w:numPr>
        <w:rPr>
          <w:sz w:val="28"/>
          <w:szCs w:val="28"/>
        </w:rPr>
      </w:pPr>
      <w:r w:rsidRPr="00171D90">
        <w:rPr>
          <w:sz w:val="28"/>
          <w:szCs w:val="28"/>
        </w:rPr>
        <w:t>‘Problematic issues arising in the consideration of certain categories of family disputes’;</w:t>
      </w:r>
    </w:p>
    <w:p w:rsidR="00171D90" w:rsidRPr="00171D90" w:rsidRDefault="00171D90" w:rsidP="00847DB5">
      <w:pPr>
        <w:pStyle w:val="a7"/>
        <w:numPr>
          <w:ilvl w:val="0"/>
          <w:numId w:val="27"/>
        </w:numPr>
        <w:rPr>
          <w:sz w:val="28"/>
          <w:szCs w:val="28"/>
        </w:rPr>
      </w:pPr>
      <w:r w:rsidRPr="00171D90">
        <w:rPr>
          <w:sz w:val="28"/>
          <w:szCs w:val="28"/>
        </w:rPr>
        <w:t>‘Ensuring the principle of the best interests of the child in certain categories of family disputes’;</w:t>
      </w:r>
    </w:p>
    <w:p w:rsidR="00171D90" w:rsidRPr="00171D90" w:rsidRDefault="00171D90" w:rsidP="00847DB5">
      <w:pPr>
        <w:pStyle w:val="a7"/>
        <w:numPr>
          <w:ilvl w:val="0"/>
          <w:numId w:val="27"/>
        </w:numPr>
        <w:rPr>
          <w:sz w:val="28"/>
          <w:szCs w:val="28"/>
        </w:rPr>
      </w:pPr>
      <w:r w:rsidRPr="00171D90">
        <w:rPr>
          <w:sz w:val="28"/>
          <w:szCs w:val="28"/>
        </w:rPr>
        <w:t>‘Certain issues arising in inheritance cases’;</w:t>
      </w:r>
    </w:p>
    <w:p w:rsidR="00171D90" w:rsidRPr="00171D90" w:rsidRDefault="00171D90" w:rsidP="00847DB5">
      <w:pPr>
        <w:pStyle w:val="a7"/>
        <w:numPr>
          <w:ilvl w:val="0"/>
          <w:numId w:val="27"/>
        </w:numPr>
        <w:rPr>
          <w:sz w:val="28"/>
          <w:szCs w:val="28"/>
        </w:rPr>
      </w:pPr>
      <w:r w:rsidRPr="00171D90">
        <w:rPr>
          <w:sz w:val="28"/>
          <w:szCs w:val="28"/>
        </w:rPr>
        <w:t>‘Judicial control over the enforcement of court decisions, problematic aspects and relevant case law’;</w:t>
      </w:r>
    </w:p>
    <w:p w:rsidR="00171D90" w:rsidRPr="00171D90" w:rsidRDefault="00171D90" w:rsidP="00847DB5">
      <w:pPr>
        <w:pStyle w:val="a7"/>
        <w:numPr>
          <w:ilvl w:val="0"/>
          <w:numId w:val="27"/>
        </w:numPr>
        <w:rPr>
          <w:sz w:val="28"/>
          <w:szCs w:val="28"/>
        </w:rPr>
      </w:pPr>
      <w:r w:rsidRPr="00171D90">
        <w:rPr>
          <w:sz w:val="28"/>
          <w:szCs w:val="28"/>
        </w:rPr>
        <w:t>‘The principle of good faith and abuse of procedural rights (appellate instance)’;</w:t>
      </w:r>
    </w:p>
    <w:p w:rsidR="00171D90" w:rsidRPr="00171D90" w:rsidRDefault="00171D90" w:rsidP="00847DB5">
      <w:pPr>
        <w:pStyle w:val="a7"/>
        <w:numPr>
          <w:ilvl w:val="0"/>
          <w:numId w:val="27"/>
        </w:numPr>
        <w:rPr>
          <w:sz w:val="28"/>
          <w:szCs w:val="28"/>
        </w:rPr>
      </w:pPr>
      <w:r w:rsidRPr="00171D90">
        <w:rPr>
          <w:sz w:val="28"/>
          <w:szCs w:val="28"/>
        </w:rPr>
        <w:t xml:space="preserve"> ‘Protection of dignity, honour and business reputation: problematic issues of law enforcement. Current judicial practice’;</w:t>
      </w:r>
    </w:p>
    <w:p w:rsidR="00171D90" w:rsidRPr="00171D90" w:rsidRDefault="00171D90" w:rsidP="00847DB5">
      <w:pPr>
        <w:pStyle w:val="a7"/>
        <w:numPr>
          <w:ilvl w:val="0"/>
          <w:numId w:val="27"/>
        </w:numPr>
        <w:rPr>
          <w:sz w:val="28"/>
          <w:szCs w:val="28"/>
        </w:rPr>
      </w:pPr>
      <w:r w:rsidRPr="00171D90">
        <w:rPr>
          <w:sz w:val="28"/>
          <w:szCs w:val="28"/>
        </w:rPr>
        <w:t>‘Liability for breach of monetary obligations’;</w:t>
      </w:r>
    </w:p>
    <w:p w:rsidR="00171D90" w:rsidRPr="00171D90" w:rsidRDefault="00171D90" w:rsidP="00847DB5">
      <w:pPr>
        <w:pStyle w:val="a7"/>
        <w:numPr>
          <w:ilvl w:val="0"/>
          <w:numId w:val="27"/>
        </w:numPr>
        <w:rPr>
          <w:sz w:val="28"/>
          <w:szCs w:val="28"/>
        </w:rPr>
      </w:pPr>
      <w:r w:rsidRPr="00171D90">
        <w:rPr>
          <w:sz w:val="28"/>
          <w:szCs w:val="28"/>
        </w:rPr>
        <w:t>‘Certain issues arising in the course of court consideration of credit disputes’;</w:t>
      </w:r>
    </w:p>
    <w:p w:rsidR="00171D90" w:rsidRPr="00171D90" w:rsidRDefault="00171D90" w:rsidP="00847DB5">
      <w:pPr>
        <w:pStyle w:val="a7"/>
        <w:numPr>
          <w:ilvl w:val="0"/>
          <w:numId w:val="27"/>
        </w:numPr>
        <w:rPr>
          <w:sz w:val="28"/>
          <w:szCs w:val="28"/>
        </w:rPr>
      </w:pPr>
      <w:r w:rsidRPr="00171D90">
        <w:rPr>
          <w:sz w:val="28"/>
          <w:szCs w:val="28"/>
        </w:rPr>
        <w:t>‘Practice of the Supreme Court in mortgage disputes’;</w:t>
      </w:r>
    </w:p>
    <w:p w:rsidR="00171D90" w:rsidRPr="00171D90" w:rsidRDefault="00171D90" w:rsidP="00847DB5">
      <w:pPr>
        <w:pStyle w:val="a7"/>
        <w:numPr>
          <w:ilvl w:val="0"/>
          <w:numId w:val="27"/>
        </w:numPr>
        <w:rPr>
          <w:sz w:val="28"/>
          <w:szCs w:val="28"/>
        </w:rPr>
      </w:pPr>
      <w:r w:rsidRPr="00171D90">
        <w:rPr>
          <w:sz w:val="28"/>
          <w:szCs w:val="28"/>
        </w:rPr>
        <w:t>‘Court practice in housing disputes’;</w:t>
      </w:r>
    </w:p>
    <w:p w:rsidR="00171D90" w:rsidRPr="00171D90" w:rsidRDefault="00171D90" w:rsidP="00847DB5">
      <w:pPr>
        <w:pStyle w:val="a7"/>
        <w:numPr>
          <w:ilvl w:val="0"/>
          <w:numId w:val="27"/>
        </w:numPr>
        <w:rPr>
          <w:sz w:val="28"/>
          <w:szCs w:val="28"/>
        </w:rPr>
      </w:pPr>
      <w:r w:rsidRPr="00171D90">
        <w:rPr>
          <w:sz w:val="28"/>
          <w:szCs w:val="28"/>
        </w:rPr>
        <w:t xml:space="preserve"> ‘Consideration of disputes on protection of property rights: current issues and practice of their resolution’;</w:t>
      </w:r>
    </w:p>
    <w:p w:rsidR="00171D90" w:rsidRPr="00171D90" w:rsidRDefault="00171D90" w:rsidP="00847DB5">
      <w:pPr>
        <w:pStyle w:val="a7"/>
        <w:numPr>
          <w:ilvl w:val="0"/>
          <w:numId w:val="27"/>
        </w:numPr>
        <w:rPr>
          <w:sz w:val="28"/>
          <w:szCs w:val="28"/>
        </w:rPr>
      </w:pPr>
      <w:r w:rsidRPr="00171D90">
        <w:rPr>
          <w:sz w:val="28"/>
          <w:szCs w:val="28"/>
        </w:rPr>
        <w:t>‘Issues of fact and law: practical problems of distinguishing the circumstances of the case, their legal qualification and application of law in commercial proceedings’;</w:t>
      </w:r>
    </w:p>
    <w:p w:rsidR="00171D90" w:rsidRPr="00171D90" w:rsidRDefault="00171D90" w:rsidP="00847DB5">
      <w:pPr>
        <w:pStyle w:val="a7"/>
        <w:numPr>
          <w:ilvl w:val="0"/>
          <w:numId w:val="27"/>
        </w:numPr>
        <w:rPr>
          <w:sz w:val="28"/>
          <w:szCs w:val="28"/>
        </w:rPr>
      </w:pPr>
      <w:r w:rsidRPr="00171D90">
        <w:rPr>
          <w:sz w:val="28"/>
          <w:szCs w:val="28"/>
        </w:rPr>
        <w:t>‘Current issues of commercial contract law’;</w:t>
      </w:r>
    </w:p>
    <w:p w:rsidR="00171D90" w:rsidRPr="00171D90" w:rsidRDefault="00171D90" w:rsidP="00847DB5">
      <w:pPr>
        <w:pStyle w:val="a7"/>
        <w:numPr>
          <w:ilvl w:val="0"/>
          <w:numId w:val="27"/>
        </w:numPr>
        <w:rPr>
          <w:sz w:val="28"/>
          <w:szCs w:val="28"/>
        </w:rPr>
      </w:pPr>
      <w:r w:rsidRPr="00171D90">
        <w:rPr>
          <w:sz w:val="28"/>
          <w:szCs w:val="28"/>
        </w:rPr>
        <w:t>‘Appealing against arbitral awards in the courts of appeal’;</w:t>
      </w:r>
    </w:p>
    <w:p w:rsidR="00171D90" w:rsidRPr="00171D90" w:rsidRDefault="00171D90" w:rsidP="00847DB5">
      <w:pPr>
        <w:pStyle w:val="a7"/>
        <w:numPr>
          <w:ilvl w:val="0"/>
          <w:numId w:val="27"/>
        </w:numPr>
        <w:rPr>
          <w:sz w:val="28"/>
          <w:szCs w:val="28"/>
        </w:rPr>
      </w:pPr>
      <w:r w:rsidRPr="00171D90">
        <w:rPr>
          <w:sz w:val="28"/>
          <w:szCs w:val="28"/>
        </w:rPr>
        <w:t>Protection of rights to intellectual property objects.</w:t>
      </w:r>
    </w:p>
    <w:p w:rsidR="00171D90" w:rsidRPr="00171D90" w:rsidRDefault="00171D90" w:rsidP="00171D90">
      <w:pPr>
        <w:pStyle w:val="a7"/>
        <w:rPr>
          <w:sz w:val="28"/>
          <w:szCs w:val="28"/>
        </w:rPr>
      </w:pPr>
      <w:r w:rsidRPr="00171D90">
        <w:rPr>
          <w:sz w:val="28"/>
          <w:szCs w:val="28"/>
        </w:rPr>
        <w:t>Standardised lectures on EU law in Ukrainian court practice and Differentiation of procedural form at the level of proceedings and procedures: problematic issues are currently being developed.</w:t>
      </w:r>
    </w:p>
    <w:p w:rsidR="009255BE" w:rsidRPr="009255BE" w:rsidRDefault="009255BE" w:rsidP="009255BE">
      <w:pPr>
        <w:pStyle w:val="1"/>
        <w:jc w:val="both"/>
        <w:rPr>
          <w:rFonts w:ascii="Times New Roman" w:hAnsi="Times New Roman" w:cs="Times New Roman"/>
          <w:lang w:val="en-US" w:eastAsia="uk-UA"/>
        </w:rPr>
      </w:pPr>
      <w:r w:rsidRPr="009255BE">
        <w:rPr>
          <w:rFonts w:ascii="Times New Roman" w:hAnsi="Times New Roman" w:cs="Times New Roman"/>
          <w:lang w:val="en-US"/>
        </w:rPr>
        <w:t>Video lectures</w:t>
      </w:r>
    </w:p>
    <w:p w:rsidR="009255BE" w:rsidRPr="009255BE" w:rsidRDefault="009255BE" w:rsidP="009255BE">
      <w:pPr>
        <w:pStyle w:val="a7"/>
        <w:ind w:firstLine="708"/>
        <w:jc w:val="both"/>
        <w:rPr>
          <w:sz w:val="28"/>
          <w:szCs w:val="28"/>
        </w:rPr>
      </w:pPr>
      <w:r w:rsidRPr="009255BE">
        <w:rPr>
          <w:sz w:val="28"/>
          <w:szCs w:val="28"/>
        </w:rPr>
        <w:t xml:space="preserve">During the period of quarantine and the absence of the possibility of conducting classroom classes, it is very timely and relevant to create a video library of presentations by experienced judges who are teachers of the National School of Judges. </w:t>
      </w:r>
      <w:r w:rsidRPr="009255BE">
        <w:rPr>
          <w:b/>
          <w:bCs/>
          <w:sz w:val="28"/>
          <w:szCs w:val="28"/>
        </w:rPr>
        <w:t>The</w:t>
      </w:r>
      <w:r w:rsidRPr="009255BE">
        <w:rPr>
          <w:sz w:val="28"/>
          <w:szCs w:val="28"/>
        </w:rPr>
        <w:t xml:space="preserve"> NSJS initiated the preparation, development and implementation of </w:t>
      </w:r>
      <w:r w:rsidRPr="009255BE">
        <w:rPr>
          <w:b/>
          <w:bCs/>
          <w:sz w:val="28"/>
          <w:szCs w:val="28"/>
        </w:rPr>
        <w:t>video lectures</w:t>
      </w:r>
      <w:r w:rsidRPr="009255BE">
        <w:rPr>
          <w:sz w:val="28"/>
          <w:szCs w:val="28"/>
        </w:rPr>
        <w:t xml:space="preserve"> in the judicial training process </w:t>
      </w:r>
      <w:r w:rsidRPr="009255BE">
        <w:rPr>
          <w:b/>
          <w:bCs/>
          <w:sz w:val="28"/>
          <w:szCs w:val="28"/>
        </w:rPr>
        <w:t>.</w:t>
      </w:r>
    </w:p>
    <w:p w:rsidR="009255BE" w:rsidRPr="009255BE" w:rsidRDefault="009255BE" w:rsidP="009255BE">
      <w:pPr>
        <w:pStyle w:val="a7"/>
        <w:ind w:firstLine="708"/>
        <w:jc w:val="both"/>
        <w:rPr>
          <w:sz w:val="28"/>
          <w:szCs w:val="28"/>
        </w:rPr>
      </w:pPr>
      <w:r w:rsidRPr="009255BE">
        <w:rPr>
          <w:sz w:val="28"/>
          <w:szCs w:val="28"/>
        </w:rPr>
        <w:t xml:space="preserve">With the support of the Council of Europe project ‘Further Support to Ukraine's Implementation of Decisions in the Context of Article 6 of the European Convention on Human Rights’ </w:t>
      </w:r>
      <w:r w:rsidRPr="009255BE">
        <w:rPr>
          <w:b/>
          <w:bCs/>
          <w:sz w:val="28"/>
          <w:szCs w:val="28"/>
        </w:rPr>
        <w:t>, 20 training videos were prepared</w:t>
      </w:r>
      <w:r w:rsidRPr="009255BE">
        <w:rPr>
          <w:sz w:val="28"/>
          <w:szCs w:val="28"/>
        </w:rPr>
        <w:t xml:space="preserve"> and will be implemented in the judicial training process.</w:t>
      </w:r>
    </w:p>
    <w:p w:rsidR="009255BE" w:rsidRPr="009255BE" w:rsidRDefault="009255BE" w:rsidP="009255BE">
      <w:pPr>
        <w:pStyle w:val="a7"/>
        <w:jc w:val="both"/>
        <w:rPr>
          <w:sz w:val="28"/>
          <w:szCs w:val="28"/>
        </w:rPr>
      </w:pPr>
      <w:r w:rsidRPr="009255BE">
        <w:rPr>
          <w:sz w:val="28"/>
          <w:szCs w:val="28"/>
        </w:rPr>
        <w:lastRenderedPageBreak/>
        <w:t>Video lectures were prepared on the following topics:</w:t>
      </w:r>
    </w:p>
    <w:p w:rsidR="009255BE" w:rsidRPr="009255BE" w:rsidRDefault="009255BE" w:rsidP="00847DB5">
      <w:pPr>
        <w:pStyle w:val="a7"/>
        <w:numPr>
          <w:ilvl w:val="0"/>
          <w:numId w:val="28"/>
        </w:numPr>
        <w:jc w:val="both"/>
        <w:rPr>
          <w:sz w:val="28"/>
          <w:szCs w:val="28"/>
        </w:rPr>
      </w:pPr>
      <w:r w:rsidRPr="009255BE">
        <w:rPr>
          <w:sz w:val="28"/>
          <w:szCs w:val="28"/>
        </w:rPr>
        <w:t>Development of the doctrine of human rights protection in the case law of the European Court of Human Rights;</w:t>
      </w:r>
    </w:p>
    <w:p w:rsidR="009255BE" w:rsidRPr="009255BE" w:rsidRDefault="009255BE" w:rsidP="00847DB5">
      <w:pPr>
        <w:pStyle w:val="a7"/>
        <w:numPr>
          <w:ilvl w:val="0"/>
          <w:numId w:val="28"/>
        </w:numPr>
        <w:jc w:val="both"/>
        <w:rPr>
          <w:sz w:val="28"/>
          <w:szCs w:val="28"/>
        </w:rPr>
      </w:pPr>
      <w:r w:rsidRPr="009255BE">
        <w:rPr>
          <w:sz w:val="28"/>
          <w:szCs w:val="28"/>
        </w:rPr>
        <w:t>‘Judicial discretion, miscarriage of justice and judicial arbitrariness (through the prism of legal liability of judges);</w:t>
      </w:r>
    </w:p>
    <w:p w:rsidR="009255BE" w:rsidRPr="009255BE" w:rsidRDefault="009255BE" w:rsidP="00847DB5">
      <w:pPr>
        <w:pStyle w:val="a7"/>
        <w:numPr>
          <w:ilvl w:val="0"/>
          <w:numId w:val="28"/>
        </w:numPr>
        <w:jc w:val="both"/>
        <w:rPr>
          <w:sz w:val="28"/>
          <w:szCs w:val="28"/>
        </w:rPr>
      </w:pPr>
      <w:r w:rsidRPr="009255BE">
        <w:rPr>
          <w:sz w:val="28"/>
          <w:szCs w:val="28"/>
        </w:rPr>
        <w:t>‘Judicial independence and accountability in the era of polarised politics’;</w:t>
      </w:r>
    </w:p>
    <w:p w:rsidR="009255BE" w:rsidRPr="009255BE" w:rsidRDefault="009255BE" w:rsidP="00847DB5">
      <w:pPr>
        <w:pStyle w:val="a7"/>
        <w:numPr>
          <w:ilvl w:val="0"/>
          <w:numId w:val="28"/>
        </w:numPr>
        <w:jc w:val="both"/>
        <w:rPr>
          <w:sz w:val="28"/>
          <w:szCs w:val="28"/>
        </w:rPr>
      </w:pPr>
      <w:r w:rsidRPr="009255BE">
        <w:rPr>
          <w:sz w:val="28"/>
          <w:szCs w:val="28"/>
        </w:rPr>
        <w:t>‘The practice of the Grand Chamber of the Supreme Court: impact on the legal system’;</w:t>
      </w:r>
    </w:p>
    <w:p w:rsidR="009255BE" w:rsidRPr="009255BE" w:rsidRDefault="009255BE" w:rsidP="00847DB5">
      <w:pPr>
        <w:pStyle w:val="a7"/>
        <w:numPr>
          <w:ilvl w:val="0"/>
          <w:numId w:val="28"/>
        </w:numPr>
        <w:jc w:val="both"/>
        <w:rPr>
          <w:sz w:val="28"/>
          <w:szCs w:val="28"/>
        </w:rPr>
      </w:pPr>
      <w:r w:rsidRPr="009255BE">
        <w:rPr>
          <w:sz w:val="28"/>
          <w:szCs w:val="28"/>
        </w:rPr>
        <w:t>‘What legal relations are similar? (On the application of certain rules of procedural law)’;</w:t>
      </w:r>
    </w:p>
    <w:p w:rsidR="009255BE" w:rsidRPr="009255BE" w:rsidRDefault="009255BE" w:rsidP="00847DB5">
      <w:pPr>
        <w:pStyle w:val="a7"/>
        <w:numPr>
          <w:ilvl w:val="0"/>
          <w:numId w:val="28"/>
        </w:numPr>
        <w:jc w:val="both"/>
        <w:rPr>
          <w:sz w:val="28"/>
          <w:szCs w:val="28"/>
        </w:rPr>
      </w:pPr>
      <w:r w:rsidRPr="009255BE">
        <w:rPr>
          <w:sz w:val="28"/>
          <w:szCs w:val="28"/>
        </w:rPr>
        <w:t>‘The impact of the European Court of Human Rights case law on the case law of national courts: methodological aspects of forming a stable and consistent practice of national courts based on the ECHR judgments and requirements for the implementation of its judgments’;</w:t>
      </w:r>
    </w:p>
    <w:p w:rsidR="009255BE" w:rsidRPr="009255BE" w:rsidRDefault="009255BE" w:rsidP="00847DB5">
      <w:pPr>
        <w:pStyle w:val="a7"/>
        <w:numPr>
          <w:ilvl w:val="0"/>
          <w:numId w:val="28"/>
        </w:numPr>
        <w:jc w:val="both"/>
        <w:rPr>
          <w:sz w:val="28"/>
          <w:szCs w:val="28"/>
        </w:rPr>
      </w:pPr>
      <w:r w:rsidRPr="009255BE">
        <w:rPr>
          <w:sz w:val="28"/>
          <w:szCs w:val="28"/>
        </w:rPr>
        <w:t>‘Decisions of the Grand Chamber of the Supreme Court: Urbi et Orbi’;</w:t>
      </w:r>
    </w:p>
    <w:p w:rsidR="009255BE" w:rsidRPr="009255BE" w:rsidRDefault="009255BE" w:rsidP="00847DB5">
      <w:pPr>
        <w:pStyle w:val="a7"/>
        <w:numPr>
          <w:ilvl w:val="0"/>
          <w:numId w:val="28"/>
        </w:numPr>
        <w:jc w:val="both"/>
        <w:rPr>
          <w:sz w:val="28"/>
          <w:szCs w:val="28"/>
        </w:rPr>
      </w:pPr>
      <w:r w:rsidRPr="009255BE">
        <w:rPr>
          <w:sz w:val="28"/>
          <w:szCs w:val="28"/>
        </w:rPr>
        <w:t>‘Judicial Rulemaking in the Activities of European Courts of Cassation: Current Issues’;</w:t>
      </w:r>
    </w:p>
    <w:p w:rsidR="009255BE" w:rsidRPr="009255BE" w:rsidRDefault="009255BE" w:rsidP="00847DB5">
      <w:pPr>
        <w:pStyle w:val="a7"/>
        <w:numPr>
          <w:ilvl w:val="0"/>
          <w:numId w:val="28"/>
        </w:numPr>
        <w:jc w:val="both"/>
        <w:rPr>
          <w:sz w:val="28"/>
          <w:szCs w:val="28"/>
        </w:rPr>
      </w:pPr>
      <w:r w:rsidRPr="009255BE">
        <w:rPr>
          <w:sz w:val="28"/>
          <w:szCs w:val="28"/>
        </w:rPr>
        <w:t>‘Conceptual principles of judicial independence in a democratic society’;</w:t>
      </w:r>
    </w:p>
    <w:p w:rsidR="009255BE" w:rsidRPr="009255BE" w:rsidRDefault="009255BE" w:rsidP="00847DB5">
      <w:pPr>
        <w:pStyle w:val="a7"/>
        <w:numPr>
          <w:ilvl w:val="0"/>
          <w:numId w:val="28"/>
        </w:numPr>
        <w:jc w:val="both"/>
        <w:rPr>
          <w:sz w:val="28"/>
          <w:szCs w:val="28"/>
        </w:rPr>
      </w:pPr>
      <w:r w:rsidRPr="009255BE">
        <w:rPr>
          <w:sz w:val="28"/>
          <w:szCs w:val="28"/>
        </w:rPr>
        <w:t>‘Positive obligations of the state in the context of conflict and internal displacement’;</w:t>
      </w:r>
    </w:p>
    <w:p w:rsidR="009255BE" w:rsidRPr="009255BE" w:rsidRDefault="009255BE" w:rsidP="00847DB5">
      <w:pPr>
        <w:pStyle w:val="a7"/>
        <w:numPr>
          <w:ilvl w:val="0"/>
          <w:numId w:val="28"/>
        </w:numPr>
        <w:jc w:val="both"/>
        <w:rPr>
          <w:sz w:val="28"/>
          <w:szCs w:val="28"/>
        </w:rPr>
      </w:pPr>
      <w:r w:rsidRPr="009255BE">
        <w:rPr>
          <w:sz w:val="28"/>
          <w:szCs w:val="28"/>
        </w:rPr>
        <w:t>‘Reasoned judgement of a national court - the limits of “interference”;</w:t>
      </w:r>
    </w:p>
    <w:p w:rsidR="009255BE" w:rsidRPr="009255BE" w:rsidRDefault="009255BE" w:rsidP="00847DB5">
      <w:pPr>
        <w:pStyle w:val="a7"/>
        <w:numPr>
          <w:ilvl w:val="0"/>
          <w:numId w:val="28"/>
        </w:numPr>
        <w:jc w:val="both"/>
        <w:rPr>
          <w:sz w:val="28"/>
          <w:szCs w:val="28"/>
        </w:rPr>
      </w:pPr>
      <w:r w:rsidRPr="009255BE">
        <w:rPr>
          <w:sz w:val="28"/>
          <w:szCs w:val="28"/>
        </w:rPr>
        <w:t>‘ECHR case law on access to public information’;</w:t>
      </w:r>
    </w:p>
    <w:p w:rsidR="009255BE" w:rsidRPr="009255BE" w:rsidRDefault="009255BE" w:rsidP="00847DB5">
      <w:pPr>
        <w:pStyle w:val="a7"/>
        <w:numPr>
          <w:ilvl w:val="0"/>
          <w:numId w:val="28"/>
        </w:numPr>
        <w:jc w:val="both"/>
        <w:rPr>
          <w:sz w:val="28"/>
          <w:szCs w:val="28"/>
        </w:rPr>
      </w:pPr>
      <w:r w:rsidRPr="009255BE">
        <w:rPr>
          <w:sz w:val="28"/>
          <w:szCs w:val="28"/>
        </w:rPr>
        <w:t>‘Application of the ECHR and ECHR case law in administrative proceedings. Recent judgments of the ECHR against Ukraine’;</w:t>
      </w:r>
    </w:p>
    <w:p w:rsidR="009255BE" w:rsidRPr="009255BE" w:rsidRDefault="009255BE" w:rsidP="00847DB5">
      <w:pPr>
        <w:pStyle w:val="a7"/>
        <w:numPr>
          <w:ilvl w:val="0"/>
          <w:numId w:val="28"/>
        </w:numPr>
        <w:jc w:val="both"/>
        <w:rPr>
          <w:sz w:val="28"/>
          <w:szCs w:val="28"/>
        </w:rPr>
      </w:pPr>
      <w:r w:rsidRPr="009255BE">
        <w:rPr>
          <w:sz w:val="28"/>
          <w:szCs w:val="28"/>
        </w:rPr>
        <w:t>‘The principle of universal jurisdiction in criminal proceedings and international human rights protection’;</w:t>
      </w:r>
    </w:p>
    <w:p w:rsidR="009255BE" w:rsidRPr="009255BE" w:rsidRDefault="009255BE" w:rsidP="00847DB5">
      <w:pPr>
        <w:pStyle w:val="a7"/>
        <w:numPr>
          <w:ilvl w:val="0"/>
          <w:numId w:val="28"/>
        </w:numPr>
        <w:jc w:val="both"/>
        <w:rPr>
          <w:sz w:val="28"/>
          <w:szCs w:val="28"/>
        </w:rPr>
      </w:pPr>
      <w:r w:rsidRPr="009255BE">
        <w:rPr>
          <w:sz w:val="28"/>
          <w:szCs w:val="28"/>
        </w:rPr>
        <w:t>‘ECHR standards on the burden of proof and evidence’;</w:t>
      </w:r>
    </w:p>
    <w:p w:rsidR="009255BE" w:rsidRPr="009255BE" w:rsidRDefault="009255BE" w:rsidP="00847DB5">
      <w:pPr>
        <w:pStyle w:val="a7"/>
        <w:numPr>
          <w:ilvl w:val="0"/>
          <w:numId w:val="28"/>
        </w:numPr>
        <w:jc w:val="both"/>
        <w:rPr>
          <w:sz w:val="28"/>
          <w:szCs w:val="28"/>
        </w:rPr>
      </w:pPr>
      <w:r w:rsidRPr="009255BE">
        <w:rPr>
          <w:sz w:val="28"/>
          <w:szCs w:val="28"/>
        </w:rPr>
        <w:t>‘Ethical considerations and involvement of judges in cooperation with the community’;</w:t>
      </w:r>
    </w:p>
    <w:p w:rsidR="009255BE" w:rsidRPr="009255BE" w:rsidRDefault="009255BE" w:rsidP="00847DB5">
      <w:pPr>
        <w:pStyle w:val="a7"/>
        <w:numPr>
          <w:ilvl w:val="0"/>
          <w:numId w:val="28"/>
        </w:numPr>
        <w:jc w:val="both"/>
        <w:rPr>
          <w:sz w:val="28"/>
          <w:szCs w:val="28"/>
        </w:rPr>
      </w:pPr>
      <w:r w:rsidRPr="009255BE">
        <w:rPr>
          <w:sz w:val="28"/>
          <w:szCs w:val="28"/>
        </w:rPr>
        <w:t>‘Reasoning of court decisions and the “balance” of rights in civil cases from the perspective of the European Court of Human Rights’;</w:t>
      </w:r>
    </w:p>
    <w:p w:rsidR="009255BE" w:rsidRPr="009255BE" w:rsidRDefault="009255BE" w:rsidP="00847DB5">
      <w:pPr>
        <w:pStyle w:val="a7"/>
        <w:numPr>
          <w:ilvl w:val="0"/>
          <w:numId w:val="28"/>
        </w:numPr>
        <w:jc w:val="both"/>
        <w:rPr>
          <w:sz w:val="28"/>
          <w:szCs w:val="28"/>
        </w:rPr>
      </w:pPr>
      <w:r w:rsidRPr="009255BE">
        <w:rPr>
          <w:sz w:val="28"/>
          <w:szCs w:val="28"/>
        </w:rPr>
        <w:t>‘Application of the rule of law in the administration of administrative justice’;</w:t>
      </w:r>
    </w:p>
    <w:p w:rsidR="009255BE" w:rsidRPr="009255BE" w:rsidRDefault="009255BE" w:rsidP="00847DB5">
      <w:pPr>
        <w:pStyle w:val="a7"/>
        <w:numPr>
          <w:ilvl w:val="0"/>
          <w:numId w:val="28"/>
        </w:numPr>
        <w:jc w:val="both"/>
        <w:rPr>
          <w:sz w:val="28"/>
          <w:szCs w:val="28"/>
        </w:rPr>
      </w:pPr>
      <w:r w:rsidRPr="009255BE">
        <w:rPr>
          <w:sz w:val="28"/>
          <w:szCs w:val="28"/>
        </w:rPr>
        <w:t>‘Economic sanctions: the procedure for application, powers of the economic court to reduce the amount of sanctions’;</w:t>
      </w:r>
    </w:p>
    <w:p w:rsidR="009255BE" w:rsidRPr="009255BE" w:rsidRDefault="009255BE" w:rsidP="00847DB5">
      <w:pPr>
        <w:pStyle w:val="a7"/>
        <w:numPr>
          <w:ilvl w:val="0"/>
          <w:numId w:val="28"/>
        </w:numPr>
        <w:jc w:val="both"/>
        <w:rPr>
          <w:sz w:val="28"/>
          <w:szCs w:val="28"/>
        </w:rPr>
      </w:pPr>
      <w:r w:rsidRPr="009255BE">
        <w:rPr>
          <w:sz w:val="28"/>
          <w:szCs w:val="28"/>
        </w:rPr>
        <w:t>‘Ways to protect property rights’.</w:t>
      </w:r>
    </w:p>
    <w:p w:rsidR="009255BE" w:rsidRPr="009255BE" w:rsidRDefault="009255BE" w:rsidP="009255BE">
      <w:pPr>
        <w:pStyle w:val="1"/>
        <w:jc w:val="both"/>
        <w:rPr>
          <w:rFonts w:ascii="Times New Roman" w:hAnsi="Times New Roman" w:cs="Times New Roman"/>
          <w:lang w:val="en-US"/>
        </w:rPr>
      </w:pPr>
      <w:r w:rsidRPr="009255BE">
        <w:rPr>
          <w:rFonts w:ascii="Times New Roman" w:hAnsi="Times New Roman" w:cs="Times New Roman"/>
          <w:lang w:val="en-US"/>
        </w:rPr>
        <w:t>Courses and manuals for training teachers (trainers), as well as developers and reviewers of test materials</w:t>
      </w:r>
    </w:p>
    <w:p w:rsidR="009255BE" w:rsidRPr="009255BE" w:rsidRDefault="009255BE" w:rsidP="009255BE">
      <w:pPr>
        <w:pStyle w:val="2"/>
        <w:jc w:val="both"/>
        <w:rPr>
          <w:rFonts w:ascii="Times New Roman" w:hAnsi="Times New Roman" w:cs="Times New Roman"/>
          <w:sz w:val="28"/>
          <w:szCs w:val="28"/>
          <w:lang w:val="en-US"/>
        </w:rPr>
      </w:pPr>
      <w:r w:rsidRPr="009255BE">
        <w:rPr>
          <w:rFonts w:ascii="Times New Roman" w:hAnsi="Times New Roman" w:cs="Times New Roman"/>
          <w:sz w:val="28"/>
          <w:szCs w:val="28"/>
          <w:lang w:val="en-US"/>
        </w:rPr>
        <w:t>Five training products were developed:</w:t>
      </w:r>
    </w:p>
    <w:p w:rsidR="009255BE" w:rsidRPr="009255BE" w:rsidRDefault="009255BE" w:rsidP="00847DB5">
      <w:pPr>
        <w:pStyle w:val="a7"/>
        <w:numPr>
          <w:ilvl w:val="0"/>
          <w:numId w:val="29"/>
        </w:numPr>
        <w:jc w:val="both"/>
        <w:rPr>
          <w:sz w:val="28"/>
          <w:szCs w:val="28"/>
        </w:rPr>
      </w:pPr>
      <w:r w:rsidRPr="009255BE">
        <w:rPr>
          <w:sz w:val="28"/>
          <w:szCs w:val="28"/>
        </w:rPr>
        <w:t>training ‘Improving the Public Speaking Skills of Teachers of the National School of Judges of Ukraine’;</w:t>
      </w:r>
    </w:p>
    <w:p w:rsidR="009255BE" w:rsidRPr="009255BE" w:rsidRDefault="009255BE" w:rsidP="00847DB5">
      <w:pPr>
        <w:pStyle w:val="a7"/>
        <w:numPr>
          <w:ilvl w:val="0"/>
          <w:numId w:val="29"/>
        </w:numPr>
        <w:jc w:val="both"/>
        <w:rPr>
          <w:sz w:val="28"/>
          <w:szCs w:val="28"/>
        </w:rPr>
      </w:pPr>
      <w:r w:rsidRPr="009255BE">
        <w:rPr>
          <w:sz w:val="28"/>
          <w:szCs w:val="28"/>
        </w:rPr>
        <w:lastRenderedPageBreak/>
        <w:t>training ‘Language design of training courses for judges’;</w:t>
      </w:r>
    </w:p>
    <w:p w:rsidR="009255BE" w:rsidRPr="009255BE" w:rsidRDefault="009255BE" w:rsidP="00847DB5">
      <w:pPr>
        <w:pStyle w:val="a7"/>
        <w:numPr>
          <w:ilvl w:val="0"/>
          <w:numId w:val="29"/>
        </w:numPr>
        <w:jc w:val="both"/>
        <w:rPr>
          <w:sz w:val="28"/>
          <w:szCs w:val="28"/>
        </w:rPr>
      </w:pPr>
      <w:r w:rsidRPr="009255BE">
        <w:rPr>
          <w:sz w:val="28"/>
          <w:szCs w:val="28"/>
        </w:rPr>
        <w:t>distance course ‘Peculiarities of the work of a team of trainers during distance learning under quarantine’;</w:t>
      </w:r>
    </w:p>
    <w:p w:rsidR="009255BE" w:rsidRPr="009255BE" w:rsidRDefault="009255BE" w:rsidP="00847DB5">
      <w:pPr>
        <w:pStyle w:val="a7"/>
        <w:numPr>
          <w:ilvl w:val="0"/>
          <w:numId w:val="29"/>
        </w:numPr>
        <w:jc w:val="both"/>
        <w:rPr>
          <w:sz w:val="28"/>
          <w:szCs w:val="28"/>
        </w:rPr>
      </w:pPr>
      <w:r w:rsidRPr="009255BE">
        <w:rPr>
          <w:sz w:val="28"/>
          <w:szCs w:val="28"/>
        </w:rPr>
        <w:t>workshop ‘Design of training materials’;</w:t>
      </w:r>
    </w:p>
    <w:p w:rsidR="009255BE" w:rsidRPr="009255BE" w:rsidRDefault="009255BE" w:rsidP="00847DB5">
      <w:pPr>
        <w:pStyle w:val="a7"/>
        <w:numPr>
          <w:ilvl w:val="0"/>
          <w:numId w:val="29"/>
        </w:numPr>
        <w:jc w:val="both"/>
        <w:rPr>
          <w:sz w:val="28"/>
          <w:szCs w:val="28"/>
        </w:rPr>
      </w:pPr>
      <w:r w:rsidRPr="009255BE">
        <w:rPr>
          <w:sz w:val="28"/>
          <w:szCs w:val="28"/>
        </w:rPr>
        <w:t>online training for developers of selection exam materials in the anonymous testing procedure to check the level of general theoretical knowledge of a candidate for a judicial position in the field of law and his/her command of the state language.</w:t>
      </w:r>
    </w:p>
    <w:p w:rsidR="009255BE" w:rsidRPr="009255BE" w:rsidRDefault="009255BE" w:rsidP="009255BE">
      <w:pPr>
        <w:pStyle w:val="2"/>
        <w:jc w:val="both"/>
        <w:rPr>
          <w:rFonts w:ascii="Times New Roman" w:hAnsi="Times New Roman" w:cs="Times New Roman"/>
          <w:sz w:val="28"/>
          <w:szCs w:val="28"/>
          <w:lang w:val="en-US"/>
        </w:rPr>
      </w:pPr>
      <w:r w:rsidRPr="009255BE">
        <w:rPr>
          <w:rFonts w:ascii="Times New Roman" w:hAnsi="Times New Roman" w:cs="Times New Roman"/>
          <w:sz w:val="28"/>
          <w:szCs w:val="28"/>
          <w:lang w:val="en-US"/>
        </w:rPr>
        <w:t>Five tests were conducted:</w:t>
      </w:r>
    </w:p>
    <w:p w:rsidR="009255BE" w:rsidRPr="009255BE" w:rsidRDefault="009255BE" w:rsidP="00847DB5">
      <w:pPr>
        <w:pStyle w:val="a7"/>
        <w:numPr>
          <w:ilvl w:val="0"/>
          <w:numId w:val="30"/>
        </w:numPr>
        <w:jc w:val="both"/>
        <w:rPr>
          <w:sz w:val="28"/>
          <w:szCs w:val="28"/>
        </w:rPr>
      </w:pPr>
      <w:r w:rsidRPr="009255BE">
        <w:rPr>
          <w:sz w:val="28"/>
          <w:szCs w:val="28"/>
        </w:rPr>
        <w:t>training ‘Improving Public Speaking Skills of Teachers of the National School of Judges of Ukraine’;</w:t>
      </w:r>
    </w:p>
    <w:p w:rsidR="009255BE" w:rsidRPr="009255BE" w:rsidRDefault="009255BE" w:rsidP="00847DB5">
      <w:pPr>
        <w:pStyle w:val="a7"/>
        <w:numPr>
          <w:ilvl w:val="0"/>
          <w:numId w:val="30"/>
        </w:numPr>
        <w:jc w:val="both"/>
        <w:rPr>
          <w:sz w:val="28"/>
          <w:szCs w:val="28"/>
        </w:rPr>
      </w:pPr>
      <w:r w:rsidRPr="009255BE">
        <w:rPr>
          <w:sz w:val="28"/>
          <w:szCs w:val="28"/>
        </w:rPr>
        <w:t>training ‘Language design of training courses for judges’;</w:t>
      </w:r>
    </w:p>
    <w:p w:rsidR="009255BE" w:rsidRPr="009255BE" w:rsidRDefault="009255BE" w:rsidP="00847DB5">
      <w:pPr>
        <w:pStyle w:val="a7"/>
        <w:numPr>
          <w:ilvl w:val="0"/>
          <w:numId w:val="30"/>
        </w:numPr>
        <w:jc w:val="both"/>
        <w:rPr>
          <w:sz w:val="28"/>
          <w:szCs w:val="28"/>
        </w:rPr>
      </w:pPr>
      <w:r w:rsidRPr="009255BE">
        <w:rPr>
          <w:sz w:val="28"/>
          <w:szCs w:val="28"/>
        </w:rPr>
        <w:t>distance course ‘Peculiarities of the work of a team of trainers during distance learning under quarantine’;</w:t>
      </w:r>
    </w:p>
    <w:p w:rsidR="009255BE" w:rsidRPr="009255BE" w:rsidRDefault="009255BE" w:rsidP="00847DB5">
      <w:pPr>
        <w:pStyle w:val="a7"/>
        <w:numPr>
          <w:ilvl w:val="0"/>
          <w:numId w:val="30"/>
        </w:numPr>
        <w:jc w:val="both"/>
        <w:rPr>
          <w:sz w:val="28"/>
          <w:szCs w:val="28"/>
        </w:rPr>
      </w:pPr>
      <w:r w:rsidRPr="009255BE">
        <w:rPr>
          <w:sz w:val="28"/>
          <w:szCs w:val="28"/>
        </w:rPr>
        <w:t>a workshop on ‘Design of teaching and learning materials’;</w:t>
      </w:r>
    </w:p>
    <w:p w:rsidR="009255BE" w:rsidRPr="009255BE" w:rsidRDefault="009255BE" w:rsidP="00847DB5">
      <w:pPr>
        <w:pStyle w:val="a7"/>
        <w:numPr>
          <w:ilvl w:val="0"/>
          <w:numId w:val="30"/>
        </w:numPr>
        <w:jc w:val="both"/>
        <w:rPr>
          <w:sz w:val="28"/>
          <w:szCs w:val="28"/>
        </w:rPr>
      </w:pPr>
      <w:r w:rsidRPr="009255BE">
        <w:rPr>
          <w:sz w:val="28"/>
          <w:szCs w:val="28"/>
        </w:rPr>
        <w:t>online training for developers of selection exam materials in the anonymous testing procedure to test the level of general theoretical knowledge of a judicial candidate in the field of law and his/her command of the state language.</w:t>
      </w:r>
    </w:p>
    <w:p w:rsidR="009255BE" w:rsidRPr="009255BE" w:rsidRDefault="009255BE" w:rsidP="009255BE">
      <w:pPr>
        <w:pStyle w:val="a7"/>
        <w:jc w:val="both"/>
        <w:rPr>
          <w:sz w:val="28"/>
          <w:szCs w:val="28"/>
        </w:rPr>
      </w:pPr>
      <w:r w:rsidRPr="009255BE">
        <w:rPr>
          <w:sz w:val="28"/>
          <w:szCs w:val="28"/>
        </w:rPr>
        <w:t>A training course was held on the workshop ‘Preparation of Training Materials’.</w:t>
      </w:r>
    </w:p>
    <w:p w:rsidR="009255BE" w:rsidRPr="009255BE" w:rsidRDefault="009255BE" w:rsidP="009255BE">
      <w:pPr>
        <w:pStyle w:val="a7"/>
        <w:jc w:val="both"/>
        <w:rPr>
          <w:sz w:val="28"/>
          <w:szCs w:val="28"/>
        </w:rPr>
      </w:pPr>
      <w:r w:rsidRPr="009255BE">
        <w:rPr>
          <w:sz w:val="28"/>
          <w:szCs w:val="28"/>
        </w:rPr>
        <w:t>Training courses for prosecutors were developed (in accordance with the Memorandum of Cooperation between the Training Centre of Prosecutors of Ukraine and the National School of Judges of Ukraine of 09 December 2021):</w:t>
      </w:r>
    </w:p>
    <w:p w:rsidR="009255BE" w:rsidRPr="009255BE" w:rsidRDefault="009255BE" w:rsidP="009255BE">
      <w:pPr>
        <w:pStyle w:val="a7"/>
        <w:jc w:val="both"/>
        <w:rPr>
          <w:sz w:val="28"/>
          <w:szCs w:val="28"/>
        </w:rPr>
      </w:pPr>
      <w:r w:rsidRPr="009255BE">
        <w:rPr>
          <w:sz w:val="28"/>
          <w:szCs w:val="28"/>
        </w:rPr>
        <w:t>- three-day training course ‘Language competence of the procedural supervisor’;</w:t>
      </w:r>
    </w:p>
    <w:p w:rsidR="009255BE" w:rsidRPr="009255BE" w:rsidRDefault="009255BE" w:rsidP="009255BE">
      <w:pPr>
        <w:pStyle w:val="a7"/>
        <w:jc w:val="both"/>
        <w:rPr>
          <w:sz w:val="28"/>
          <w:szCs w:val="28"/>
        </w:rPr>
      </w:pPr>
      <w:r w:rsidRPr="009255BE">
        <w:rPr>
          <w:sz w:val="28"/>
          <w:szCs w:val="28"/>
        </w:rPr>
        <w:t>- training ‘Writing appeals and cassation appeals’;</w:t>
      </w:r>
    </w:p>
    <w:p w:rsidR="009255BE" w:rsidRPr="009255BE" w:rsidRDefault="009255BE" w:rsidP="009255BE">
      <w:pPr>
        <w:pStyle w:val="a7"/>
        <w:jc w:val="both"/>
        <w:rPr>
          <w:sz w:val="28"/>
          <w:szCs w:val="28"/>
        </w:rPr>
      </w:pPr>
      <w:r w:rsidRPr="009255BE">
        <w:rPr>
          <w:sz w:val="28"/>
          <w:szCs w:val="28"/>
        </w:rPr>
        <w:t>- training ‘Language and style basics of public speaking by a prosecutor’.</w:t>
      </w:r>
    </w:p>
    <w:p w:rsidR="009255BE" w:rsidRPr="009255BE" w:rsidRDefault="009255BE" w:rsidP="009255BE">
      <w:pPr>
        <w:pStyle w:val="1"/>
        <w:jc w:val="both"/>
        <w:rPr>
          <w:rFonts w:ascii="Times New Roman" w:hAnsi="Times New Roman" w:cs="Times New Roman"/>
          <w:lang w:val="en-US"/>
        </w:rPr>
      </w:pPr>
      <w:r w:rsidRPr="009255BE">
        <w:rPr>
          <w:rFonts w:ascii="Times New Roman" w:hAnsi="Times New Roman" w:cs="Times New Roman"/>
          <w:lang w:val="en-US"/>
        </w:rPr>
        <w:t>Publication of educational and methodological literature</w:t>
      </w:r>
    </w:p>
    <w:p w:rsidR="009255BE" w:rsidRPr="009255BE" w:rsidRDefault="009255BE" w:rsidP="009255BE">
      <w:pPr>
        <w:pStyle w:val="a7"/>
        <w:jc w:val="both"/>
        <w:rPr>
          <w:sz w:val="28"/>
          <w:szCs w:val="28"/>
        </w:rPr>
      </w:pPr>
      <w:r w:rsidRPr="009255BE">
        <w:rPr>
          <w:sz w:val="28"/>
          <w:szCs w:val="28"/>
        </w:rPr>
        <w:t xml:space="preserve">The following </w:t>
      </w:r>
      <w:r w:rsidRPr="009255BE">
        <w:rPr>
          <w:b/>
          <w:bCs/>
          <w:sz w:val="28"/>
          <w:szCs w:val="28"/>
        </w:rPr>
        <w:t>manuals</w:t>
      </w:r>
      <w:r w:rsidRPr="009255BE">
        <w:rPr>
          <w:sz w:val="28"/>
          <w:szCs w:val="28"/>
        </w:rPr>
        <w:t xml:space="preserve"> were prepared (in paper or electronic format):</w:t>
      </w:r>
    </w:p>
    <w:p w:rsidR="009255BE" w:rsidRPr="009255BE" w:rsidRDefault="009255BE" w:rsidP="00847DB5">
      <w:pPr>
        <w:pStyle w:val="a7"/>
        <w:numPr>
          <w:ilvl w:val="0"/>
          <w:numId w:val="31"/>
        </w:numPr>
        <w:jc w:val="both"/>
        <w:rPr>
          <w:sz w:val="28"/>
          <w:szCs w:val="28"/>
        </w:rPr>
      </w:pPr>
      <w:r w:rsidRPr="009255BE">
        <w:rPr>
          <w:sz w:val="28"/>
          <w:szCs w:val="28"/>
        </w:rPr>
        <w:t>‘Review of court practice in cases of administrative and criminal liability for violation of the rules of financing political parties and election campaigns’;</w:t>
      </w:r>
    </w:p>
    <w:p w:rsidR="009255BE" w:rsidRPr="009255BE" w:rsidRDefault="009255BE" w:rsidP="00847DB5">
      <w:pPr>
        <w:pStyle w:val="a7"/>
        <w:numPr>
          <w:ilvl w:val="0"/>
          <w:numId w:val="31"/>
        </w:numPr>
        <w:jc w:val="both"/>
        <w:rPr>
          <w:sz w:val="28"/>
          <w:szCs w:val="28"/>
        </w:rPr>
      </w:pPr>
      <w:r w:rsidRPr="009255BE">
        <w:rPr>
          <w:sz w:val="28"/>
          <w:szCs w:val="28"/>
        </w:rPr>
        <w:t>‘Communications as a means of increasing trust in the justice system’;</w:t>
      </w:r>
    </w:p>
    <w:p w:rsidR="009255BE" w:rsidRPr="009255BE" w:rsidRDefault="009255BE" w:rsidP="00847DB5">
      <w:pPr>
        <w:pStyle w:val="a7"/>
        <w:numPr>
          <w:ilvl w:val="0"/>
          <w:numId w:val="31"/>
        </w:numPr>
        <w:jc w:val="both"/>
        <w:rPr>
          <w:sz w:val="28"/>
          <w:szCs w:val="28"/>
        </w:rPr>
      </w:pPr>
      <w:r w:rsidRPr="009255BE">
        <w:rPr>
          <w:sz w:val="28"/>
          <w:szCs w:val="28"/>
        </w:rPr>
        <w:t>‘News as an effective means of judicial communication’;</w:t>
      </w:r>
    </w:p>
    <w:p w:rsidR="009255BE" w:rsidRPr="009255BE" w:rsidRDefault="009255BE" w:rsidP="00847DB5">
      <w:pPr>
        <w:pStyle w:val="a7"/>
        <w:numPr>
          <w:ilvl w:val="0"/>
          <w:numId w:val="31"/>
        </w:numPr>
        <w:jc w:val="both"/>
        <w:rPr>
          <w:sz w:val="28"/>
          <w:szCs w:val="28"/>
        </w:rPr>
      </w:pPr>
      <w:r w:rsidRPr="009255BE">
        <w:rPr>
          <w:sz w:val="28"/>
          <w:szCs w:val="28"/>
        </w:rPr>
        <w:t>‘Criminal and legal protection of professional activities of journalists’;</w:t>
      </w:r>
    </w:p>
    <w:p w:rsidR="009255BE" w:rsidRPr="009255BE" w:rsidRDefault="009255BE" w:rsidP="00847DB5">
      <w:pPr>
        <w:pStyle w:val="a7"/>
        <w:numPr>
          <w:ilvl w:val="0"/>
          <w:numId w:val="31"/>
        </w:numPr>
        <w:jc w:val="both"/>
        <w:rPr>
          <w:sz w:val="28"/>
          <w:szCs w:val="28"/>
        </w:rPr>
      </w:pPr>
      <w:r w:rsidRPr="009255BE">
        <w:rPr>
          <w:sz w:val="28"/>
          <w:szCs w:val="28"/>
        </w:rPr>
        <w:t>‘Psychological peculiarities of communication with participants of the trial who have experience of psychotraumatic impact’;</w:t>
      </w:r>
    </w:p>
    <w:p w:rsidR="009255BE" w:rsidRPr="009255BE" w:rsidRDefault="009255BE" w:rsidP="00847DB5">
      <w:pPr>
        <w:pStyle w:val="a7"/>
        <w:numPr>
          <w:ilvl w:val="0"/>
          <w:numId w:val="31"/>
        </w:numPr>
        <w:jc w:val="both"/>
        <w:rPr>
          <w:sz w:val="28"/>
          <w:szCs w:val="28"/>
        </w:rPr>
      </w:pPr>
      <w:r w:rsidRPr="009255BE">
        <w:rPr>
          <w:sz w:val="28"/>
          <w:szCs w:val="28"/>
        </w:rPr>
        <w:lastRenderedPageBreak/>
        <w:t>‘Methodological recommendations for adapting courses to online classes’;</w:t>
      </w:r>
    </w:p>
    <w:p w:rsidR="009255BE" w:rsidRPr="009255BE" w:rsidRDefault="009255BE" w:rsidP="00847DB5">
      <w:pPr>
        <w:pStyle w:val="a7"/>
        <w:numPr>
          <w:ilvl w:val="0"/>
          <w:numId w:val="31"/>
        </w:numPr>
        <w:jc w:val="both"/>
        <w:rPr>
          <w:sz w:val="28"/>
          <w:szCs w:val="28"/>
        </w:rPr>
      </w:pPr>
      <w:r w:rsidRPr="009255BE">
        <w:rPr>
          <w:sz w:val="28"/>
          <w:szCs w:val="28"/>
        </w:rPr>
        <w:t>‘Investigation and trial of criminal proceedings on money laundering’;</w:t>
      </w:r>
    </w:p>
    <w:p w:rsidR="009255BE" w:rsidRPr="009255BE" w:rsidRDefault="009255BE" w:rsidP="00847DB5">
      <w:pPr>
        <w:pStyle w:val="a7"/>
        <w:numPr>
          <w:ilvl w:val="0"/>
          <w:numId w:val="31"/>
        </w:numPr>
        <w:jc w:val="both"/>
        <w:rPr>
          <w:sz w:val="28"/>
          <w:szCs w:val="28"/>
        </w:rPr>
      </w:pPr>
      <w:r w:rsidRPr="009255BE">
        <w:rPr>
          <w:sz w:val="28"/>
          <w:szCs w:val="28"/>
        </w:rPr>
        <w:t>‘Mentoring Institute: Theory and Practice of Application in Judicial Education’;</w:t>
      </w:r>
    </w:p>
    <w:p w:rsidR="009255BE" w:rsidRPr="009255BE" w:rsidRDefault="009255BE" w:rsidP="00847DB5">
      <w:pPr>
        <w:pStyle w:val="a7"/>
        <w:numPr>
          <w:ilvl w:val="0"/>
          <w:numId w:val="31"/>
        </w:numPr>
        <w:jc w:val="both"/>
        <w:rPr>
          <w:sz w:val="28"/>
          <w:szCs w:val="28"/>
        </w:rPr>
      </w:pPr>
      <w:r w:rsidRPr="009255BE">
        <w:rPr>
          <w:sz w:val="28"/>
          <w:szCs w:val="28"/>
        </w:rPr>
        <w:t>Manual for judges ‘Protection of Economic Competition’;</w:t>
      </w:r>
    </w:p>
    <w:p w:rsidR="009255BE" w:rsidRPr="009255BE" w:rsidRDefault="009255BE" w:rsidP="00847DB5">
      <w:pPr>
        <w:pStyle w:val="a7"/>
        <w:numPr>
          <w:ilvl w:val="0"/>
          <w:numId w:val="31"/>
        </w:numPr>
        <w:jc w:val="both"/>
        <w:rPr>
          <w:sz w:val="28"/>
          <w:szCs w:val="28"/>
        </w:rPr>
      </w:pPr>
      <w:r w:rsidRPr="009255BE">
        <w:rPr>
          <w:sz w:val="28"/>
          <w:szCs w:val="28"/>
        </w:rPr>
        <w:t>Manual for judges ‘State Aid to Business Entities’;</w:t>
      </w:r>
    </w:p>
    <w:p w:rsidR="009255BE" w:rsidRPr="009255BE" w:rsidRDefault="009255BE" w:rsidP="00847DB5">
      <w:pPr>
        <w:pStyle w:val="a7"/>
        <w:numPr>
          <w:ilvl w:val="0"/>
          <w:numId w:val="31"/>
        </w:numPr>
        <w:jc w:val="both"/>
        <w:rPr>
          <w:sz w:val="28"/>
          <w:szCs w:val="28"/>
        </w:rPr>
      </w:pPr>
      <w:r w:rsidRPr="009255BE">
        <w:rPr>
          <w:sz w:val="28"/>
          <w:szCs w:val="28"/>
        </w:rPr>
        <w:t>manual for judges ‘Trade Remedies’;</w:t>
      </w:r>
    </w:p>
    <w:p w:rsidR="009255BE" w:rsidRPr="009255BE" w:rsidRDefault="009255BE" w:rsidP="00847DB5">
      <w:pPr>
        <w:pStyle w:val="a7"/>
        <w:numPr>
          <w:ilvl w:val="0"/>
          <w:numId w:val="31"/>
        </w:numPr>
        <w:jc w:val="both"/>
        <w:rPr>
          <w:sz w:val="28"/>
          <w:szCs w:val="28"/>
        </w:rPr>
      </w:pPr>
      <w:r w:rsidRPr="009255BE">
        <w:rPr>
          <w:sz w:val="28"/>
          <w:szCs w:val="28"/>
        </w:rPr>
        <w:t>methodological recommendations for judges on the Green Room methodology.</w:t>
      </w:r>
    </w:p>
    <w:p w:rsidR="009255BE" w:rsidRPr="009255BE" w:rsidRDefault="009255BE" w:rsidP="009255BE">
      <w:pPr>
        <w:pStyle w:val="a7"/>
        <w:jc w:val="both"/>
        <w:rPr>
          <w:sz w:val="28"/>
          <w:szCs w:val="28"/>
        </w:rPr>
      </w:pPr>
      <w:r w:rsidRPr="009255BE">
        <w:rPr>
          <w:b/>
          <w:bCs/>
          <w:sz w:val="28"/>
          <w:szCs w:val="28"/>
        </w:rPr>
        <w:t>The preparation of training manuals is ongoing:</w:t>
      </w:r>
    </w:p>
    <w:p w:rsidR="009255BE" w:rsidRPr="009255BE" w:rsidRDefault="009255BE" w:rsidP="00847DB5">
      <w:pPr>
        <w:pStyle w:val="a7"/>
        <w:numPr>
          <w:ilvl w:val="0"/>
          <w:numId w:val="32"/>
        </w:numPr>
        <w:jc w:val="both"/>
        <w:rPr>
          <w:sz w:val="28"/>
          <w:szCs w:val="28"/>
        </w:rPr>
      </w:pPr>
      <w:r w:rsidRPr="009255BE">
        <w:rPr>
          <w:sz w:val="28"/>
          <w:szCs w:val="28"/>
        </w:rPr>
        <w:t>‘Investigating Judge in Criminal Proceedings: Current Issues of Activity’;</w:t>
      </w:r>
    </w:p>
    <w:p w:rsidR="009255BE" w:rsidRPr="009255BE" w:rsidRDefault="009255BE" w:rsidP="00847DB5">
      <w:pPr>
        <w:pStyle w:val="a7"/>
        <w:numPr>
          <w:ilvl w:val="0"/>
          <w:numId w:val="32"/>
        </w:numPr>
        <w:jc w:val="both"/>
        <w:rPr>
          <w:sz w:val="28"/>
          <w:szCs w:val="28"/>
        </w:rPr>
      </w:pPr>
      <w:r w:rsidRPr="009255BE">
        <w:rPr>
          <w:sz w:val="28"/>
          <w:szCs w:val="28"/>
        </w:rPr>
        <w:t>‘Resolving disputes on violation of political finance rules’;</w:t>
      </w:r>
    </w:p>
    <w:p w:rsidR="009255BE" w:rsidRPr="009255BE" w:rsidRDefault="009255BE" w:rsidP="00847DB5">
      <w:pPr>
        <w:pStyle w:val="a7"/>
        <w:numPr>
          <w:ilvl w:val="0"/>
          <w:numId w:val="32"/>
        </w:numPr>
        <w:jc w:val="both"/>
        <w:rPr>
          <w:sz w:val="28"/>
          <w:szCs w:val="28"/>
        </w:rPr>
      </w:pPr>
      <w:r w:rsidRPr="009255BE">
        <w:rPr>
          <w:sz w:val="28"/>
          <w:szCs w:val="28"/>
        </w:rPr>
        <w:t>The Role of Probation in the Criminal Proceedings of Ukraine;</w:t>
      </w:r>
    </w:p>
    <w:p w:rsidR="009255BE" w:rsidRPr="009255BE" w:rsidRDefault="009255BE" w:rsidP="00847DB5">
      <w:pPr>
        <w:pStyle w:val="a7"/>
        <w:numPr>
          <w:ilvl w:val="0"/>
          <w:numId w:val="32"/>
        </w:numPr>
        <w:jc w:val="both"/>
        <w:rPr>
          <w:sz w:val="28"/>
          <w:szCs w:val="28"/>
        </w:rPr>
      </w:pPr>
      <w:r w:rsidRPr="009255BE">
        <w:rPr>
          <w:sz w:val="28"/>
          <w:szCs w:val="28"/>
        </w:rPr>
        <w:t>‘The Rule of Law: the Rule of Law in the Administration of Justice’.</w:t>
      </w:r>
    </w:p>
    <w:p w:rsidR="009255BE" w:rsidRPr="009255BE" w:rsidRDefault="009255BE" w:rsidP="009255BE">
      <w:pPr>
        <w:pStyle w:val="1"/>
        <w:jc w:val="both"/>
        <w:rPr>
          <w:rFonts w:ascii="Times New Roman" w:hAnsi="Times New Roman" w:cs="Times New Roman"/>
          <w:b w:val="0"/>
          <w:color w:val="auto"/>
          <w:lang w:val="en-US"/>
        </w:rPr>
      </w:pPr>
      <w:r w:rsidRPr="009255BE">
        <w:rPr>
          <w:rFonts w:ascii="Times New Roman" w:hAnsi="Times New Roman" w:cs="Times New Roman"/>
          <w:b w:val="0"/>
          <w:color w:val="auto"/>
          <w:lang w:val="en-US"/>
        </w:rPr>
        <w:t>Research work, including scientific and methodological support for the activities of the High Qualifications Commission of Judges of Ukraine and the High Council of Justice, support for psychological training of judges, scientific and methodological support for judicial education</w:t>
      </w:r>
    </w:p>
    <w:p w:rsidR="009255BE" w:rsidRPr="009255BE" w:rsidRDefault="009255BE" w:rsidP="009255BE">
      <w:pPr>
        <w:pStyle w:val="a7"/>
        <w:jc w:val="both"/>
        <w:rPr>
          <w:sz w:val="28"/>
          <w:szCs w:val="28"/>
        </w:rPr>
      </w:pPr>
      <w:r w:rsidRPr="009255BE">
        <w:rPr>
          <w:sz w:val="28"/>
          <w:szCs w:val="28"/>
        </w:rPr>
        <w:t>One of the priorities of the National School of Judges is to conduct research, in particular, to provide scientific and methodological support for the activities of the High Qualification Commission of Judges of Ukraine (hereinafter - HQCJ) and the High Council of Justice.</w:t>
      </w:r>
    </w:p>
    <w:p w:rsidR="001D010A" w:rsidRPr="001D010A" w:rsidRDefault="001D010A" w:rsidP="001D010A">
      <w:pPr>
        <w:pStyle w:val="a7"/>
        <w:jc w:val="center"/>
        <w:rPr>
          <w:sz w:val="28"/>
          <w:szCs w:val="28"/>
        </w:rPr>
      </w:pPr>
      <w:r w:rsidRPr="001D010A">
        <w:rPr>
          <w:b/>
          <w:bCs/>
          <w:sz w:val="28"/>
          <w:szCs w:val="28"/>
        </w:rPr>
        <w:t>Developing and reviewing test materials</w:t>
      </w:r>
    </w:p>
    <w:tbl>
      <w:tblPr>
        <w:tblStyle w:val="af"/>
        <w:tblW w:w="9885" w:type="dxa"/>
        <w:tblLook w:val="04A0" w:firstRow="1" w:lastRow="0" w:firstColumn="1" w:lastColumn="0" w:noHBand="0" w:noVBand="1"/>
      </w:tblPr>
      <w:tblGrid>
        <w:gridCol w:w="2311"/>
        <w:gridCol w:w="1636"/>
        <w:gridCol w:w="2151"/>
        <w:gridCol w:w="1636"/>
        <w:gridCol w:w="2151"/>
      </w:tblGrid>
      <w:tr w:rsidR="00FA5AC5" w:rsidRPr="009B4CC0" w:rsidTr="009E3A96">
        <w:tc>
          <w:tcPr>
            <w:tcW w:w="2311" w:type="dxa"/>
            <w:vMerge w:val="restart"/>
          </w:tcPr>
          <w:p w:rsidR="00FA5AC5" w:rsidRPr="005B238B" w:rsidRDefault="00FA5AC5" w:rsidP="00FA5AC5">
            <w:pPr>
              <w:pStyle w:val="a7"/>
              <w:rPr>
                <w:sz w:val="28"/>
                <w:szCs w:val="28"/>
              </w:rPr>
            </w:pPr>
            <w:r w:rsidRPr="005B238B">
              <w:rPr>
                <w:b/>
                <w:bCs/>
                <w:sz w:val="28"/>
                <w:szCs w:val="28"/>
              </w:rPr>
              <w:t>Specialisation</w:t>
            </w:r>
          </w:p>
          <w:p w:rsidR="00FA5AC5" w:rsidRPr="005B238B" w:rsidRDefault="00FA5AC5" w:rsidP="00FA5AC5">
            <w:pPr>
              <w:pStyle w:val="11"/>
            </w:pPr>
          </w:p>
        </w:tc>
        <w:tc>
          <w:tcPr>
            <w:tcW w:w="3787" w:type="dxa"/>
            <w:gridSpan w:val="2"/>
            <w:vAlign w:val="center"/>
          </w:tcPr>
          <w:p w:rsidR="00D60F18" w:rsidRPr="00D60F18" w:rsidRDefault="00D60F18" w:rsidP="00D60F18">
            <w:pPr>
              <w:pStyle w:val="a7"/>
              <w:jc w:val="center"/>
              <w:rPr>
                <w:sz w:val="28"/>
                <w:szCs w:val="28"/>
              </w:rPr>
            </w:pPr>
            <w:r w:rsidRPr="00D60F18">
              <w:rPr>
                <w:b/>
                <w:bCs/>
                <w:sz w:val="28"/>
                <w:szCs w:val="28"/>
              </w:rPr>
              <w:t>Test materials</w:t>
            </w:r>
          </w:p>
          <w:p w:rsidR="00FA5AC5" w:rsidRPr="00D60F18" w:rsidRDefault="00FA5AC5" w:rsidP="00D60F18">
            <w:pPr>
              <w:pStyle w:val="af8"/>
              <w:jc w:val="center"/>
              <w:rPr>
                <w:rFonts w:ascii="Times New Roman" w:hAnsi="Times New Roman" w:cs="Times New Roman"/>
                <w:b/>
              </w:rPr>
            </w:pPr>
          </w:p>
        </w:tc>
        <w:tc>
          <w:tcPr>
            <w:tcW w:w="3787" w:type="dxa"/>
            <w:gridSpan w:val="2"/>
            <w:vAlign w:val="center"/>
          </w:tcPr>
          <w:p w:rsidR="00D60F18" w:rsidRPr="00D60F18" w:rsidRDefault="00D60F18" w:rsidP="00D60F18">
            <w:pPr>
              <w:pStyle w:val="a7"/>
              <w:jc w:val="center"/>
              <w:rPr>
                <w:sz w:val="28"/>
                <w:szCs w:val="28"/>
              </w:rPr>
            </w:pPr>
            <w:r w:rsidRPr="00D60F18">
              <w:rPr>
                <w:b/>
                <w:bCs/>
                <w:sz w:val="28"/>
                <w:szCs w:val="28"/>
              </w:rPr>
              <w:t>Practical tasks (mock court cases, instructions and assessment forms)</w:t>
            </w:r>
          </w:p>
          <w:p w:rsidR="00FA5AC5" w:rsidRPr="00D60F18" w:rsidRDefault="00FA5AC5" w:rsidP="00D60F18">
            <w:pPr>
              <w:pStyle w:val="af8"/>
              <w:jc w:val="center"/>
              <w:rPr>
                <w:rFonts w:ascii="Times New Roman" w:hAnsi="Times New Roman" w:cs="Times New Roman"/>
                <w:b/>
              </w:rPr>
            </w:pPr>
          </w:p>
        </w:tc>
      </w:tr>
      <w:tr w:rsidR="00D60F18" w:rsidTr="009E3A96">
        <w:tc>
          <w:tcPr>
            <w:tcW w:w="2311" w:type="dxa"/>
            <w:vMerge/>
          </w:tcPr>
          <w:p w:rsidR="00D60F18" w:rsidRPr="005B238B" w:rsidRDefault="00D60F18" w:rsidP="00D60F18">
            <w:pPr>
              <w:pStyle w:val="af8"/>
              <w:jc w:val="center"/>
              <w:rPr>
                <w:rFonts w:ascii="Times New Roman" w:hAnsi="Times New Roman" w:cs="Times New Roman"/>
                <w:b/>
              </w:rPr>
            </w:pPr>
          </w:p>
        </w:tc>
        <w:tc>
          <w:tcPr>
            <w:tcW w:w="1636" w:type="dxa"/>
          </w:tcPr>
          <w:p w:rsidR="00D60F18" w:rsidRPr="000440B5" w:rsidRDefault="00D60F18" w:rsidP="00D60F18">
            <w:pPr>
              <w:pStyle w:val="a7"/>
              <w:jc w:val="center"/>
            </w:pPr>
            <w:r w:rsidRPr="000440B5">
              <w:rPr>
                <w:b/>
                <w:bCs/>
              </w:rPr>
              <w:t>developed</w:t>
            </w:r>
          </w:p>
        </w:tc>
        <w:tc>
          <w:tcPr>
            <w:tcW w:w="2151" w:type="dxa"/>
          </w:tcPr>
          <w:p w:rsidR="00D60F18" w:rsidRPr="000440B5" w:rsidRDefault="00D60F18" w:rsidP="00D60F18">
            <w:pPr>
              <w:pStyle w:val="a7"/>
              <w:jc w:val="center"/>
            </w:pPr>
            <w:r>
              <w:rPr>
                <w:b/>
                <w:bCs/>
              </w:rPr>
              <w:t>reviewed</w:t>
            </w:r>
          </w:p>
        </w:tc>
        <w:tc>
          <w:tcPr>
            <w:tcW w:w="1636" w:type="dxa"/>
          </w:tcPr>
          <w:p w:rsidR="00D60F18" w:rsidRPr="000440B5" w:rsidRDefault="00D60F18" w:rsidP="00D60F18">
            <w:pPr>
              <w:pStyle w:val="a7"/>
              <w:jc w:val="center"/>
            </w:pPr>
            <w:r w:rsidRPr="000440B5">
              <w:rPr>
                <w:b/>
                <w:bCs/>
              </w:rPr>
              <w:t>developed</w:t>
            </w:r>
          </w:p>
        </w:tc>
        <w:tc>
          <w:tcPr>
            <w:tcW w:w="2151" w:type="dxa"/>
          </w:tcPr>
          <w:p w:rsidR="00D60F18" w:rsidRPr="000440B5" w:rsidRDefault="00D60F18" w:rsidP="00D60F18">
            <w:pPr>
              <w:pStyle w:val="a7"/>
              <w:jc w:val="center"/>
            </w:pPr>
            <w:r>
              <w:rPr>
                <w:b/>
                <w:bCs/>
              </w:rPr>
              <w:t>reviewed</w:t>
            </w:r>
          </w:p>
        </w:tc>
      </w:tr>
      <w:tr w:rsidR="00FA5AC5" w:rsidTr="001D010A">
        <w:tc>
          <w:tcPr>
            <w:tcW w:w="2311" w:type="dxa"/>
          </w:tcPr>
          <w:p w:rsidR="00FA5AC5" w:rsidRPr="005B238B" w:rsidRDefault="00FA5AC5" w:rsidP="00FA5AC5">
            <w:pPr>
              <w:pStyle w:val="a7"/>
              <w:rPr>
                <w:sz w:val="28"/>
                <w:szCs w:val="28"/>
              </w:rPr>
            </w:pPr>
            <w:r w:rsidRPr="005B238B">
              <w:rPr>
                <w:b/>
                <w:bCs/>
                <w:sz w:val="28"/>
                <w:szCs w:val="28"/>
              </w:rPr>
              <w:t>civil</w:t>
            </w:r>
          </w:p>
        </w:tc>
        <w:tc>
          <w:tcPr>
            <w:tcW w:w="1636" w:type="dxa"/>
          </w:tcPr>
          <w:p w:rsidR="00FA5AC5" w:rsidRDefault="00FA5AC5" w:rsidP="00FA5AC5">
            <w:pPr>
              <w:pStyle w:val="af8"/>
              <w:jc w:val="center"/>
              <w:rPr>
                <w:rFonts w:ascii="Times New Roman" w:hAnsi="Times New Roman" w:cs="Times New Roman"/>
              </w:rPr>
            </w:pPr>
            <w:r>
              <w:rPr>
                <w:rFonts w:ascii="Times New Roman" w:hAnsi="Times New Roman" w:cs="Times New Roman"/>
              </w:rPr>
              <w:t>200</w:t>
            </w:r>
          </w:p>
        </w:tc>
        <w:tc>
          <w:tcPr>
            <w:tcW w:w="2151" w:type="dxa"/>
          </w:tcPr>
          <w:p w:rsidR="00FA5AC5" w:rsidRPr="00D60F18" w:rsidRDefault="00FA5AC5" w:rsidP="00FA5AC5">
            <w:pPr>
              <w:pStyle w:val="af8"/>
              <w:jc w:val="center"/>
              <w:rPr>
                <w:rFonts w:ascii="Times New Roman" w:hAnsi="Times New Roman" w:cs="Times New Roman"/>
                <w:lang w:val="en-US"/>
              </w:rPr>
            </w:pPr>
          </w:p>
        </w:tc>
        <w:tc>
          <w:tcPr>
            <w:tcW w:w="1636" w:type="dxa"/>
          </w:tcPr>
          <w:p w:rsidR="00FA5AC5" w:rsidRDefault="00FA5AC5" w:rsidP="00FA5AC5">
            <w:pPr>
              <w:pStyle w:val="af8"/>
              <w:jc w:val="center"/>
              <w:rPr>
                <w:rFonts w:ascii="Times New Roman" w:hAnsi="Times New Roman" w:cs="Times New Roman"/>
              </w:rPr>
            </w:pPr>
            <w:r>
              <w:rPr>
                <w:rFonts w:ascii="Times New Roman" w:hAnsi="Times New Roman" w:cs="Times New Roman"/>
              </w:rPr>
              <w:t>8</w:t>
            </w:r>
          </w:p>
        </w:tc>
        <w:tc>
          <w:tcPr>
            <w:tcW w:w="2151" w:type="dxa"/>
          </w:tcPr>
          <w:p w:rsidR="00FA5AC5" w:rsidRDefault="00FA5AC5" w:rsidP="00FA5AC5">
            <w:pPr>
              <w:pStyle w:val="af8"/>
              <w:jc w:val="center"/>
              <w:rPr>
                <w:rFonts w:ascii="Times New Roman" w:hAnsi="Times New Roman" w:cs="Times New Roman"/>
              </w:rPr>
            </w:pPr>
          </w:p>
        </w:tc>
      </w:tr>
      <w:tr w:rsidR="00FA5AC5" w:rsidTr="001D010A">
        <w:tc>
          <w:tcPr>
            <w:tcW w:w="2311" w:type="dxa"/>
          </w:tcPr>
          <w:p w:rsidR="00FA5AC5" w:rsidRPr="005B238B" w:rsidRDefault="00FA5AC5" w:rsidP="00FA5AC5">
            <w:pPr>
              <w:pStyle w:val="a7"/>
              <w:rPr>
                <w:sz w:val="28"/>
                <w:szCs w:val="28"/>
              </w:rPr>
            </w:pPr>
            <w:r w:rsidRPr="005B238B">
              <w:rPr>
                <w:b/>
                <w:bCs/>
                <w:sz w:val="28"/>
                <w:szCs w:val="28"/>
              </w:rPr>
              <w:t>criminal</w:t>
            </w:r>
          </w:p>
        </w:tc>
        <w:tc>
          <w:tcPr>
            <w:tcW w:w="1636" w:type="dxa"/>
          </w:tcPr>
          <w:p w:rsidR="00FA5AC5" w:rsidRDefault="00FA5AC5" w:rsidP="00FA5AC5">
            <w:pPr>
              <w:pStyle w:val="af8"/>
              <w:jc w:val="center"/>
              <w:rPr>
                <w:rFonts w:ascii="Times New Roman" w:hAnsi="Times New Roman" w:cs="Times New Roman"/>
              </w:rPr>
            </w:pPr>
            <w:r>
              <w:rPr>
                <w:rFonts w:ascii="Times New Roman" w:hAnsi="Times New Roman" w:cs="Times New Roman"/>
              </w:rPr>
              <w:t>140</w:t>
            </w:r>
          </w:p>
        </w:tc>
        <w:tc>
          <w:tcPr>
            <w:tcW w:w="2151" w:type="dxa"/>
          </w:tcPr>
          <w:p w:rsidR="00FA5AC5" w:rsidRDefault="00FA5AC5" w:rsidP="00FA5AC5">
            <w:pPr>
              <w:pStyle w:val="af8"/>
              <w:jc w:val="center"/>
              <w:rPr>
                <w:rFonts w:ascii="Times New Roman" w:hAnsi="Times New Roman" w:cs="Times New Roman"/>
              </w:rPr>
            </w:pPr>
            <w:r>
              <w:rPr>
                <w:rFonts w:ascii="Times New Roman" w:hAnsi="Times New Roman" w:cs="Times New Roman"/>
              </w:rPr>
              <w:t>140</w:t>
            </w:r>
          </w:p>
        </w:tc>
        <w:tc>
          <w:tcPr>
            <w:tcW w:w="1636" w:type="dxa"/>
          </w:tcPr>
          <w:p w:rsidR="00FA5AC5" w:rsidRDefault="00FA5AC5" w:rsidP="00FA5AC5">
            <w:pPr>
              <w:pStyle w:val="af8"/>
              <w:jc w:val="center"/>
              <w:rPr>
                <w:rFonts w:ascii="Times New Roman" w:hAnsi="Times New Roman" w:cs="Times New Roman"/>
              </w:rPr>
            </w:pPr>
            <w:r>
              <w:rPr>
                <w:rFonts w:ascii="Times New Roman" w:hAnsi="Times New Roman" w:cs="Times New Roman"/>
              </w:rPr>
              <w:t>14</w:t>
            </w:r>
          </w:p>
        </w:tc>
        <w:tc>
          <w:tcPr>
            <w:tcW w:w="2151" w:type="dxa"/>
          </w:tcPr>
          <w:p w:rsidR="00FA5AC5" w:rsidRDefault="00FA5AC5" w:rsidP="00FA5AC5">
            <w:pPr>
              <w:pStyle w:val="af8"/>
              <w:jc w:val="center"/>
              <w:rPr>
                <w:rFonts w:ascii="Times New Roman" w:hAnsi="Times New Roman" w:cs="Times New Roman"/>
              </w:rPr>
            </w:pPr>
            <w:r>
              <w:rPr>
                <w:rFonts w:ascii="Times New Roman" w:hAnsi="Times New Roman" w:cs="Times New Roman"/>
              </w:rPr>
              <w:t>14</w:t>
            </w:r>
          </w:p>
        </w:tc>
      </w:tr>
      <w:tr w:rsidR="00FA5AC5" w:rsidTr="001D010A">
        <w:tc>
          <w:tcPr>
            <w:tcW w:w="2311" w:type="dxa"/>
          </w:tcPr>
          <w:p w:rsidR="00FA5AC5" w:rsidRPr="005B238B" w:rsidRDefault="00FA5AC5" w:rsidP="00FA5AC5">
            <w:pPr>
              <w:pStyle w:val="a7"/>
              <w:rPr>
                <w:sz w:val="28"/>
                <w:szCs w:val="28"/>
              </w:rPr>
            </w:pPr>
            <w:r w:rsidRPr="005B238B">
              <w:rPr>
                <w:b/>
                <w:bCs/>
                <w:sz w:val="28"/>
                <w:szCs w:val="28"/>
              </w:rPr>
              <w:t>economic</w:t>
            </w:r>
          </w:p>
        </w:tc>
        <w:tc>
          <w:tcPr>
            <w:tcW w:w="1636" w:type="dxa"/>
          </w:tcPr>
          <w:p w:rsidR="00FA5AC5" w:rsidRDefault="00FA5AC5" w:rsidP="00FA5AC5">
            <w:pPr>
              <w:pStyle w:val="af8"/>
              <w:jc w:val="center"/>
              <w:rPr>
                <w:rFonts w:ascii="Times New Roman" w:hAnsi="Times New Roman" w:cs="Times New Roman"/>
              </w:rPr>
            </w:pPr>
            <w:r>
              <w:rPr>
                <w:rFonts w:ascii="Times New Roman" w:hAnsi="Times New Roman" w:cs="Times New Roman"/>
              </w:rPr>
              <w:t>473</w:t>
            </w:r>
          </w:p>
        </w:tc>
        <w:tc>
          <w:tcPr>
            <w:tcW w:w="2151" w:type="dxa"/>
          </w:tcPr>
          <w:p w:rsidR="00FA5AC5" w:rsidRDefault="00FA5AC5" w:rsidP="00FA5AC5">
            <w:pPr>
              <w:pStyle w:val="af8"/>
              <w:jc w:val="center"/>
              <w:rPr>
                <w:rFonts w:ascii="Times New Roman" w:hAnsi="Times New Roman" w:cs="Times New Roman"/>
              </w:rPr>
            </w:pPr>
            <w:r>
              <w:rPr>
                <w:rFonts w:ascii="Times New Roman" w:hAnsi="Times New Roman" w:cs="Times New Roman"/>
              </w:rPr>
              <w:t>448</w:t>
            </w:r>
          </w:p>
        </w:tc>
        <w:tc>
          <w:tcPr>
            <w:tcW w:w="1636" w:type="dxa"/>
          </w:tcPr>
          <w:p w:rsidR="00FA5AC5" w:rsidRDefault="00FA5AC5" w:rsidP="00FA5AC5">
            <w:pPr>
              <w:pStyle w:val="af8"/>
              <w:jc w:val="center"/>
              <w:rPr>
                <w:rFonts w:ascii="Times New Roman" w:hAnsi="Times New Roman" w:cs="Times New Roman"/>
              </w:rPr>
            </w:pPr>
            <w:r>
              <w:rPr>
                <w:rFonts w:ascii="Times New Roman" w:hAnsi="Times New Roman" w:cs="Times New Roman"/>
              </w:rPr>
              <w:t>15</w:t>
            </w:r>
          </w:p>
        </w:tc>
        <w:tc>
          <w:tcPr>
            <w:tcW w:w="2151" w:type="dxa"/>
          </w:tcPr>
          <w:p w:rsidR="00FA5AC5" w:rsidRDefault="00FA5AC5" w:rsidP="00FA5AC5">
            <w:pPr>
              <w:pStyle w:val="af8"/>
              <w:jc w:val="center"/>
              <w:rPr>
                <w:rFonts w:ascii="Times New Roman" w:hAnsi="Times New Roman" w:cs="Times New Roman"/>
              </w:rPr>
            </w:pPr>
            <w:r>
              <w:rPr>
                <w:rFonts w:ascii="Times New Roman" w:hAnsi="Times New Roman" w:cs="Times New Roman"/>
              </w:rPr>
              <w:t>12</w:t>
            </w:r>
          </w:p>
        </w:tc>
      </w:tr>
      <w:tr w:rsidR="00FA5AC5" w:rsidTr="001D010A">
        <w:tc>
          <w:tcPr>
            <w:tcW w:w="2311" w:type="dxa"/>
          </w:tcPr>
          <w:p w:rsidR="00FA5AC5" w:rsidRPr="005B238B" w:rsidRDefault="00FA5AC5" w:rsidP="00FA5AC5">
            <w:pPr>
              <w:pStyle w:val="a7"/>
              <w:rPr>
                <w:sz w:val="28"/>
                <w:szCs w:val="28"/>
              </w:rPr>
            </w:pPr>
            <w:r w:rsidRPr="005B238B">
              <w:rPr>
                <w:b/>
                <w:bCs/>
                <w:sz w:val="28"/>
                <w:szCs w:val="28"/>
              </w:rPr>
              <w:t>administrative</w:t>
            </w:r>
          </w:p>
        </w:tc>
        <w:tc>
          <w:tcPr>
            <w:tcW w:w="1636" w:type="dxa"/>
          </w:tcPr>
          <w:p w:rsidR="00FA5AC5" w:rsidRDefault="00FA5AC5" w:rsidP="00FA5AC5">
            <w:pPr>
              <w:pStyle w:val="af8"/>
              <w:jc w:val="center"/>
              <w:rPr>
                <w:rFonts w:ascii="Times New Roman" w:hAnsi="Times New Roman" w:cs="Times New Roman"/>
              </w:rPr>
            </w:pPr>
            <w:r>
              <w:rPr>
                <w:rFonts w:ascii="Times New Roman" w:hAnsi="Times New Roman" w:cs="Times New Roman"/>
              </w:rPr>
              <w:t>576</w:t>
            </w:r>
          </w:p>
        </w:tc>
        <w:tc>
          <w:tcPr>
            <w:tcW w:w="2151" w:type="dxa"/>
          </w:tcPr>
          <w:p w:rsidR="00FA5AC5" w:rsidRDefault="00FA5AC5" w:rsidP="00FA5AC5">
            <w:pPr>
              <w:pStyle w:val="af8"/>
              <w:jc w:val="center"/>
              <w:rPr>
                <w:rFonts w:ascii="Times New Roman" w:hAnsi="Times New Roman" w:cs="Times New Roman"/>
              </w:rPr>
            </w:pPr>
            <w:r>
              <w:rPr>
                <w:rFonts w:ascii="Times New Roman" w:hAnsi="Times New Roman" w:cs="Times New Roman"/>
              </w:rPr>
              <w:t>576</w:t>
            </w:r>
          </w:p>
        </w:tc>
        <w:tc>
          <w:tcPr>
            <w:tcW w:w="1636" w:type="dxa"/>
          </w:tcPr>
          <w:p w:rsidR="00FA5AC5" w:rsidRDefault="00FA5AC5" w:rsidP="00FA5AC5">
            <w:pPr>
              <w:pStyle w:val="af8"/>
              <w:jc w:val="center"/>
              <w:rPr>
                <w:rFonts w:ascii="Times New Roman" w:hAnsi="Times New Roman" w:cs="Times New Roman"/>
              </w:rPr>
            </w:pPr>
            <w:r>
              <w:rPr>
                <w:rFonts w:ascii="Times New Roman" w:hAnsi="Times New Roman" w:cs="Times New Roman"/>
              </w:rPr>
              <w:t>11</w:t>
            </w:r>
          </w:p>
        </w:tc>
        <w:tc>
          <w:tcPr>
            <w:tcW w:w="2151" w:type="dxa"/>
          </w:tcPr>
          <w:p w:rsidR="00FA5AC5" w:rsidRDefault="00FA5AC5" w:rsidP="00FA5AC5">
            <w:pPr>
              <w:pStyle w:val="af8"/>
              <w:jc w:val="center"/>
              <w:rPr>
                <w:rFonts w:ascii="Times New Roman" w:hAnsi="Times New Roman" w:cs="Times New Roman"/>
              </w:rPr>
            </w:pPr>
            <w:r>
              <w:rPr>
                <w:rFonts w:ascii="Times New Roman" w:hAnsi="Times New Roman" w:cs="Times New Roman"/>
              </w:rPr>
              <w:t>11</w:t>
            </w:r>
          </w:p>
        </w:tc>
      </w:tr>
      <w:tr w:rsidR="00FA5AC5" w:rsidTr="001D010A">
        <w:tc>
          <w:tcPr>
            <w:tcW w:w="2311" w:type="dxa"/>
          </w:tcPr>
          <w:p w:rsidR="00FA5AC5" w:rsidRPr="005B238B" w:rsidRDefault="00FA5AC5" w:rsidP="00FA5AC5">
            <w:pPr>
              <w:pStyle w:val="a7"/>
              <w:rPr>
                <w:sz w:val="28"/>
                <w:szCs w:val="28"/>
              </w:rPr>
            </w:pPr>
            <w:r w:rsidRPr="005B238B">
              <w:rPr>
                <w:b/>
                <w:bCs/>
                <w:sz w:val="28"/>
                <w:szCs w:val="28"/>
              </w:rPr>
              <w:t>IN GENERAL:</w:t>
            </w:r>
          </w:p>
        </w:tc>
        <w:tc>
          <w:tcPr>
            <w:tcW w:w="1636" w:type="dxa"/>
          </w:tcPr>
          <w:p w:rsidR="00FA5AC5" w:rsidRPr="0052735A" w:rsidRDefault="00FA5AC5" w:rsidP="00FA5AC5">
            <w:pPr>
              <w:pStyle w:val="af8"/>
              <w:jc w:val="center"/>
              <w:rPr>
                <w:rFonts w:ascii="Times New Roman" w:hAnsi="Times New Roman" w:cs="Times New Roman"/>
                <w:b/>
              </w:rPr>
            </w:pPr>
            <w:r w:rsidRPr="0052735A">
              <w:rPr>
                <w:rFonts w:ascii="Times New Roman" w:hAnsi="Times New Roman" w:cs="Times New Roman"/>
                <w:b/>
              </w:rPr>
              <w:t>1389</w:t>
            </w:r>
          </w:p>
        </w:tc>
        <w:tc>
          <w:tcPr>
            <w:tcW w:w="2151" w:type="dxa"/>
          </w:tcPr>
          <w:p w:rsidR="00FA5AC5" w:rsidRPr="0052735A" w:rsidRDefault="00FA5AC5" w:rsidP="00FA5AC5">
            <w:pPr>
              <w:pStyle w:val="af8"/>
              <w:jc w:val="center"/>
              <w:rPr>
                <w:rFonts w:ascii="Times New Roman" w:hAnsi="Times New Roman" w:cs="Times New Roman"/>
                <w:b/>
              </w:rPr>
            </w:pPr>
            <w:r w:rsidRPr="0052735A">
              <w:rPr>
                <w:rFonts w:ascii="Times New Roman" w:hAnsi="Times New Roman" w:cs="Times New Roman"/>
                <w:b/>
              </w:rPr>
              <w:t>1164</w:t>
            </w:r>
          </w:p>
        </w:tc>
        <w:tc>
          <w:tcPr>
            <w:tcW w:w="1636" w:type="dxa"/>
          </w:tcPr>
          <w:p w:rsidR="00FA5AC5" w:rsidRPr="0052735A" w:rsidRDefault="00FA5AC5" w:rsidP="00FA5AC5">
            <w:pPr>
              <w:pStyle w:val="af8"/>
              <w:jc w:val="center"/>
              <w:rPr>
                <w:rFonts w:ascii="Times New Roman" w:hAnsi="Times New Roman" w:cs="Times New Roman"/>
                <w:b/>
              </w:rPr>
            </w:pPr>
            <w:r w:rsidRPr="0052735A">
              <w:rPr>
                <w:rFonts w:ascii="Times New Roman" w:hAnsi="Times New Roman" w:cs="Times New Roman"/>
                <w:b/>
              </w:rPr>
              <w:t>48</w:t>
            </w:r>
          </w:p>
        </w:tc>
        <w:tc>
          <w:tcPr>
            <w:tcW w:w="2151" w:type="dxa"/>
          </w:tcPr>
          <w:p w:rsidR="00FA5AC5" w:rsidRPr="0052735A" w:rsidRDefault="00FA5AC5" w:rsidP="00FA5AC5">
            <w:pPr>
              <w:pStyle w:val="af8"/>
              <w:jc w:val="center"/>
              <w:rPr>
                <w:rFonts w:ascii="Times New Roman" w:hAnsi="Times New Roman" w:cs="Times New Roman"/>
                <w:b/>
              </w:rPr>
            </w:pPr>
            <w:r w:rsidRPr="0052735A">
              <w:rPr>
                <w:rFonts w:ascii="Times New Roman" w:hAnsi="Times New Roman" w:cs="Times New Roman"/>
                <w:b/>
              </w:rPr>
              <w:t>37</w:t>
            </w:r>
          </w:p>
        </w:tc>
      </w:tr>
    </w:tbl>
    <w:p w:rsidR="00F90299" w:rsidRDefault="00F90299" w:rsidP="00F90299">
      <w:pPr>
        <w:pStyle w:val="af8"/>
        <w:jc w:val="center"/>
        <w:rPr>
          <w:rFonts w:ascii="Times New Roman" w:hAnsi="Times New Roman" w:cs="Times New Roman"/>
        </w:rPr>
      </w:pPr>
    </w:p>
    <w:tbl>
      <w:tblPr>
        <w:tblStyle w:val="af"/>
        <w:tblW w:w="9889" w:type="dxa"/>
        <w:tblLook w:val="04A0" w:firstRow="1" w:lastRow="0" w:firstColumn="1" w:lastColumn="0" w:noHBand="0" w:noVBand="1"/>
      </w:tblPr>
      <w:tblGrid>
        <w:gridCol w:w="3190"/>
        <w:gridCol w:w="3190"/>
        <w:gridCol w:w="3509"/>
      </w:tblGrid>
      <w:tr w:rsidR="00F90299" w:rsidTr="00BF0D1F">
        <w:tc>
          <w:tcPr>
            <w:tcW w:w="3190" w:type="dxa"/>
            <w:vMerge w:val="restart"/>
          </w:tcPr>
          <w:p w:rsidR="00F90299" w:rsidRPr="00D60F18" w:rsidRDefault="00D60F18" w:rsidP="00D60F18">
            <w:pPr>
              <w:pStyle w:val="a7"/>
              <w:jc w:val="center"/>
              <w:rPr>
                <w:sz w:val="28"/>
                <w:szCs w:val="28"/>
              </w:rPr>
            </w:pPr>
            <w:r w:rsidRPr="00D60F18">
              <w:rPr>
                <w:b/>
                <w:bCs/>
                <w:sz w:val="28"/>
                <w:szCs w:val="28"/>
              </w:rPr>
              <w:t>Knowledge of the state language</w:t>
            </w:r>
          </w:p>
        </w:tc>
        <w:tc>
          <w:tcPr>
            <w:tcW w:w="6699" w:type="dxa"/>
            <w:gridSpan w:val="2"/>
          </w:tcPr>
          <w:p w:rsidR="00F90299" w:rsidRPr="00D60F18" w:rsidRDefault="00D60F18" w:rsidP="00D60F18">
            <w:pPr>
              <w:pStyle w:val="a7"/>
              <w:jc w:val="center"/>
              <w:rPr>
                <w:sz w:val="28"/>
                <w:szCs w:val="28"/>
              </w:rPr>
            </w:pPr>
            <w:r w:rsidRPr="00D60F18">
              <w:rPr>
                <w:b/>
                <w:bCs/>
                <w:sz w:val="28"/>
                <w:szCs w:val="28"/>
              </w:rPr>
              <w:t>Test questions</w:t>
            </w:r>
          </w:p>
        </w:tc>
      </w:tr>
      <w:tr w:rsidR="00F90299" w:rsidTr="00BF0D1F">
        <w:tc>
          <w:tcPr>
            <w:tcW w:w="3190" w:type="dxa"/>
            <w:vMerge/>
          </w:tcPr>
          <w:p w:rsidR="00F90299" w:rsidRPr="0052735A" w:rsidRDefault="00F90299" w:rsidP="00BF0D1F">
            <w:pPr>
              <w:pStyle w:val="af8"/>
              <w:jc w:val="center"/>
              <w:rPr>
                <w:rFonts w:ascii="Times New Roman" w:hAnsi="Times New Roman" w:cs="Times New Roman"/>
                <w:b/>
              </w:rPr>
            </w:pPr>
          </w:p>
        </w:tc>
        <w:tc>
          <w:tcPr>
            <w:tcW w:w="3190" w:type="dxa"/>
          </w:tcPr>
          <w:p w:rsidR="00F90299" w:rsidRPr="00D60F18" w:rsidRDefault="00D60F18" w:rsidP="00BF0D1F">
            <w:pPr>
              <w:pStyle w:val="af8"/>
              <w:jc w:val="center"/>
              <w:rPr>
                <w:rFonts w:ascii="Times New Roman" w:hAnsi="Times New Roman" w:cs="Times New Roman"/>
                <w:b/>
                <w:sz w:val="24"/>
                <w:szCs w:val="24"/>
              </w:rPr>
            </w:pPr>
            <w:r w:rsidRPr="00D60F18">
              <w:rPr>
                <w:rFonts w:ascii="Times New Roman" w:hAnsi="Times New Roman" w:cs="Times New Roman"/>
                <w:b/>
                <w:bCs/>
                <w:sz w:val="24"/>
                <w:szCs w:val="24"/>
              </w:rPr>
              <w:t>developed</w:t>
            </w:r>
          </w:p>
        </w:tc>
        <w:tc>
          <w:tcPr>
            <w:tcW w:w="3509" w:type="dxa"/>
          </w:tcPr>
          <w:p w:rsidR="00F90299" w:rsidRPr="00D60F18" w:rsidRDefault="00D60F18" w:rsidP="00BF0D1F">
            <w:pPr>
              <w:pStyle w:val="af8"/>
              <w:jc w:val="center"/>
              <w:rPr>
                <w:rFonts w:ascii="Times New Roman" w:hAnsi="Times New Roman" w:cs="Times New Roman"/>
                <w:b/>
                <w:sz w:val="24"/>
                <w:szCs w:val="24"/>
              </w:rPr>
            </w:pPr>
            <w:r w:rsidRPr="00D60F18">
              <w:rPr>
                <w:rFonts w:ascii="Times New Roman" w:hAnsi="Times New Roman" w:cs="Times New Roman"/>
                <w:b/>
                <w:bCs/>
                <w:sz w:val="24"/>
                <w:szCs w:val="24"/>
              </w:rPr>
              <w:t>reviewed</w:t>
            </w:r>
          </w:p>
        </w:tc>
      </w:tr>
      <w:tr w:rsidR="00F90299" w:rsidTr="00BF0D1F">
        <w:tc>
          <w:tcPr>
            <w:tcW w:w="3190" w:type="dxa"/>
          </w:tcPr>
          <w:p w:rsidR="00F90299" w:rsidRPr="00D60F18" w:rsidRDefault="00D60F18" w:rsidP="00D60F18">
            <w:pPr>
              <w:pStyle w:val="a7"/>
              <w:rPr>
                <w:sz w:val="28"/>
                <w:szCs w:val="28"/>
              </w:rPr>
            </w:pPr>
            <w:r w:rsidRPr="00D60F18">
              <w:rPr>
                <w:b/>
                <w:bCs/>
                <w:sz w:val="28"/>
                <w:szCs w:val="28"/>
              </w:rPr>
              <w:t>Ukrainian language</w:t>
            </w:r>
          </w:p>
        </w:tc>
        <w:tc>
          <w:tcPr>
            <w:tcW w:w="3190" w:type="dxa"/>
          </w:tcPr>
          <w:p w:rsidR="00F90299" w:rsidRDefault="00F90299" w:rsidP="00BF0D1F">
            <w:pPr>
              <w:pStyle w:val="af8"/>
              <w:jc w:val="center"/>
              <w:rPr>
                <w:rFonts w:ascii="Times New Roman" w:hAnsi="Times New Roman" w:cs="Times New Roman"/>
              </w:rPr>
            </w:pPr>
            <w:r w:rsidRPr="002B760E">
              <w:rPr>
                <w:rFonts w:ascii="Times New Roman" w:hAnsi="Times New Roman" w:cs="Times New Roman"/>
                <w:color w:val="000000" w:themeColor="text1"/>
              </w:rPr>
              <w:t>250</w:t>
            </w:r>
          </w:p>
        </w:tc>
        <w:tc>
          <w:tcPr>
            <w:tcW w:w="3509" w:type="dxa"/>
          </w:tcPr>
          <w:p w:rsidR="00F90299" w:rsidRDefault="00F90299" w:rsidP="00BF0D1F">
            <w:pPr>
              <w:pStyle w:val="af8"/>
              <w:jc w:val="center"/>
              <w:rPr>
                <w:rFonts w:ascii="Times New Roman" w:hAnsi="Times New Roman" w:cs="Times New Roman"/>
              </w:rPr>
            </w:pPr>
            <w:r>
              <w:rPr>
                <w:rFonts w:ascii="Times New Roman" w:hAnsi="Times New Roman" w:cs="Times New Roman"/>
              </w:rPr>
              <w:t>-</w:t>
            </w:r>
          </w:p>
        </w:tc>
      </w:tr>
    </w:tbl>
    <w:p w:rsidR="00F90299" w:rsidRDefault="00F90299" w:rsidP="00F90299">
      <w:pPr>
        <w:pStyle w:val="af8"/>
        <w:jc w:val="center"/>
        <w:rPr>
          <w:rFonts w:ascii="Times New Roman" w:hAnsi="Times New Roman" w:cs="Times New Roman"/>
        </w:rPr>
      </w:pPr>
    </w:p>
    <w:p w:rsidR="00C17767" w:rsidRPr="00C17767" w:rsidRDefault="00C17767" w:rsidP="00C17767">
      <w:pPr>
        <w:pStyle w:val="a7"/>
        <w:jc w:val="both"/>
        <w:rPr>
          <w:sz w:val="28"/>
          <w:szCs w:val="28"/>
        </w:rPr>
      </w:pPr>
      <w:r w:rsidRPr="00C17767">
        <w:rPr>
          <w:sz w:val="28"/>
          <w:szCs w:val="28"/>
        </w:rPr>
        <w:lastRenderedPageBreak/>
        <w:t xml:space="preserve">The </w:t>
      </w:r>
      <w:r w:rsidRPr="00C17767">
        <w:rPr>
          <w:b/>
          <w:bCs/>
          <w:sz w:val="28"/>
          <w:szCs w:val="28"/>
        </w:rPr>
        <w:t xml:space="preserve">database of test materials for competitions to the appellate courtswas brought in line with the current legislation </w:t>
      </w:r>
      <w:r w:rsidRPr="00C17767">
        <w:rPr>
          <w:sz w:val="28"/>
          <w:szCs w:val="28"/>
        </w:rPr>
        <w:t>(checked for relevance)</w:t>
      </w:r>
    </w:p>
    <w:p w:rsidR="00F90299" w:rsidRDefault="00F90299" w:rsidP="00F90299">
      <w:pPr>
        <w:pStyle w:val="af8"/>
        <w:jc w:val="center"/>
        <w:rPr>
          <w:rFonts w:ascii="Times New Roman" w:hAnsi="Times New Roman" w:cs="Times New Roman"/>
        </w:rPr>
      </w:pPr>
    </w:p>
    <w:tbl>
      <w:tblPr>
        <w:tblStyle w:val="af"/>
        <w:tblW w:w="9889" w:type="dxa"/>
        <w:tblLayout w:type="fixed"/>
        <w:tblLook w:val="04A0" w:firstRow="1" w:lastRow="0" w:firstColumn="1" w:lastColumn="0" w:noHBand="0" w:noVBand="1"/>
      </w:tblPr>
      <w:tblGrid>
        <w:gridCol w:w="3227"/>
        <w:gridCol w:w="3118"/>
        <w:gridCol w:w="3544"/>
      </w:tblGrid>
      <w:tr w:rsidR="00F90299" w:rsidRPr="009B4CC0" w:rsidTr="00BF0D1F">
        <w:tc>
          <w:tcPr>
            <w:tcW w:w="3227" w:type="dxa"/>
            <w:vAlign w:val="center"/>
          </w:tcPr>
          <w:p w:rsidR="00C17767" w:rsidRPr="00C17767" w:rsidRDefault="00C17767" w:rsidP="00C17767">
            <w:pPr>
              <w:pStyle w:val="a7"/>
              <w:jc w:val="center"/>
              <w:rPr>
                <w:sz w:val="28"/>
                <w:szCs w:val="28"/>
              </w:rPr>
            </w:pPr>
            <w:r w:rsidRPr="00C17767">
              <w:rPr>
                <w:b/>
                <w:bCs/>
                <w:sz w:val="28"/>
                <w:szCs w:val="28"/>
              </w:rPr>
              <w:t>Specialisation</w:t>
            </w:r>
          </w:p>
          <w:p w:rsidR="00F90299" w:rsidRPr="00C17767" w:rsidRDefault="00F90299" w:rsidP="00C17767">
            <w:pPr>
              <w:pStyle w:val="af8"/>
              <w:jc w:val="center"/>
              <w:rPr>
                <w:rFonts w:ascii="Times New Roman" w:hAnsi="Times New Roman" w:cs="Times New Roman"/>
                <w:b/>
              </w:rPr>
            </w:pPr>
          </w:p>
        </w:tc>
        <w:tc>
          <w:tcPr>
            <w:tcW w:w="3118" w:type="dxa"/>
            <w:vAlign w:val="center"/>
          </w:tcPr>
          <w:p w:rsidR="00C17767" w:rsidRPr="00C17767" w:rsidRDefault="00C17767" w:rsidP="00C17767">
            <w:pPr>
              <w:pStyle w:val="a7"/>
              <w:jc w:val="center"/>
              <w:rPr>
                <w:sz w:val="28"/>
                <w:szCs w:val="28"/>
              </w:rPr>
            </w:pPr>
            <w:r w:rsidRPr="00C17767">
              <w:rPr>
                <w:b/>
                <w:bCs/>
                <w:sz w:val="28"/>
                <w:szCs w:val="28"/>
              </w:rPr>
              <w:t>Test questions</w:t>
            </w:r>
          </w:p>
          <w:p w:rsidR="00F90299" w:rsidRPr="00C17767" w:rsidRDefault="00F90299" w:rsidP="00C17767">
            <w:pPr>
              <w:pStyle w:val="af8"/>
              <w:jc w:val="center"/>
              <w:rPr>
                <w:rFonts w:ascii="Times New Roman" w:hAnsi="Times New Roman" w:cs="Times New Roman"/>
                <w:b/>
              </w:rPr>
            </w:pPr>
          </w:p>
        </w:tc>
        <w:tc>
          <w:tcPr>
            <w:tcW w:w="3544" w:type="dxa"/>
            <w:vAlign w:val="center"/>
          </w:tcPr>
          <w:p w:rsidR="00C17767" w:rsidRPr="00C17767" w:rsidRDefault="00C17767" w:rsidP="00C17767">
            <w:pPr>
              <w:pStyle w:val="a7"/>
              <w:jc w:val="center"/>
              <w:rPr>
                <w:sz w:val="28"/>
                <w:szCs w:val="28"/>
              </w:rPr>
            </w:pPr>
            <w:r w:rsidRPr="00C17767">
              <w:rPr>
                <w:b/>
                <w:bCs/>
                <w:sz w:val="28"/>
                <w:szCs w:val="28"/>
              </w:rPr>
              <w:t>Practical tasks (mock court cases, instructions and assessment forms)</w:t>
            </w:r>
          </w:p>
          <w:p w:rsidR="00F90299" w:rsidRPr="00C17767" w:rsidRDefault="00F90299" w:rsidP="00C17767">
            <w:pPr>
              <w:pStyle w:val="af8"/>
              <w:jc w:val="center"/>
              <w:rPr>
                <w:rFonts w:ascii="Times New Roman" w:hAnsi="Times New Roman" w:cs="Times New Roman"/>
                <w:b/>
              </w:rPr>
            </w:pPr>
          </w:p>
        </w:tc>
      </w:tr>
      <w:tr w:rsidR="00C17767" w:rsidTr="00BF0D1F">
        <w:tc>
          <w:tcPr>
            <w:tcW w:w="3227" w:type="dxa"/>
          </w:tcPr>
          <w:p w:rsidR="00C17767" w:rsidRPr="002C267A" w:rsidRDefault="00C17767" w:rsidP="00C17767">
            <w:pPr>
              <w:pStyle w:val="a7"/>
            </w:pPr>
            <w:r w:rsidRPr="002C267A">
              <w:rPr>
                <w:b/>
                <w:bCs/>
              </w:rPr>
              <w:t>civil</w:t>
            </w:r>
          </w:p>
        </w:tc>
        <w:tc>
          <w:tcPr>
            <w:tcW w:w="3118" w:type="dxa"/>
          </w:tcPr>
          <w:p w:rsidR="00C17767" w:rsidRDefault="00C17767" w:rsidP="00C17767">
            <w:pPr>
              <w:pStyle w:val="af8"/>
              <w:jc w:val="center"/>
              <w:rPr>
                <w:rFonts w:ascii="Times New Roman" w:hAnsi="Times New Roman" w:cs="Times New Roman"/>
              </w:rPr>
            </w:pPr>
            <w:r>
              <w:rPr>
                <w:rFonts w:ascii="Times New Roman" w:hAnsi="Times New Roman" w:cs="Times New Roman"/>
              </w:rPr>
              <w:t>600</w:t>
            </w:r>
          </w:p>
        </w:tc>
        <w:tc>
          <w:tcPr>
            <w:tcW w:w="3544" w:type="dxa"/>
          </w:tcPr>
          <w:p w:rsidR="00C17767" w:rsidRDefault="00C17767" w:rsidP="00C17767">
            <w:pPr>
              <w:pStyle w:val="af8"/>
              <w:jc w:val="center"/>
              <w:rPr>
                <w:rFonts w:ascii="Times New Roman" w:hAnsi="Times New Roman" w:cs="Times New Roman"/>
              </w:rPr>
            </w:pPr>
            <w:r>
              <w:rPr>
                <w:rFonts w:ascii="Times New Roman" w:hAnsi="Times New Roman" w:cs="Times New Roman"/>
              </w:rPr>
              <w:t>-</w:t>
            </w:r>
          </w:p>
        </w:tc>
      </w:tr>
      <w:tr w:rsidR="00C17767" w:rsidTr="00BF0D1F">
        <w:tc>
          <w:tcPr>
            <w:tcW w:w="3227" w:type="dxa"/>
          </w:tcPr>
          <w:p w:rsidR="00C17767" w:rsidRPr="002C267A" w:rsidRDefault="00C17767" w:rsidP="00C17767">
            <w:pPr>
              <w:pStyle w:val="a7"/>
            </w:pPr>
            <w:r w:rsidRPr="002C267A">
              <w:rPr>
                <w:b/>
                <w:bCs/>
              </w:rPr>
              <w:t>criminal</w:t>
            </w:r>
          </w:p>
        </w:tc>
        <w:tc>
          <w:tcPr>
            <w:tcW w:w="3118" w:type="dxa"/>
          </w:tcPr>
          <w:p w:rsidR="00C17767" w:rsidRDefault="00C17767" w:rsidP="00C17767">
            <w:pPr>
              <w:pStyle w:val="af8"/>
              <w:jc w:val="center"/>
              <w:rPr>
                <w:rFonts w:ascii="Times New Roman" w:hAnsi="Times New Roman" w:cs="Times New Roman"/>
              </w:rPr>
            </w:pPr>
            <w:r>
              <w:rPr>
                <w:rFonts w:ascii="Times New Roman" w:hAnsi="Times New Roman" w:cs="Times New Roman"/>
              </w:rPr>
              <w:t>1200</w:t>
            </w:r>
          </w:p>
        </w:tc>
        <w:tc>
          <w:tcPr>
            <w:tcW w:w="3544" w:type="dxa"/>
          </w:tcPr>
          <w:p w:rsidR="00C17767" w:rsidRDefault="00C17767" w:rsidP="00C17767">
            <w:pPr>
              <w:pStyle w:val="af8"/>
              <w:jc w:val="center"/>
              <w:rPr>
                <w:rFonts w:ascii="Times New Roman" w:hAnsi="Times New Roman" w:cs="Times New Roman"/>
              </w:rPr>
            </w:pPr>
            <w:r>
              <w:rPr>
                <w:rFonts w:ascii="Times New Roman" w:hAnsi="Times New Roman" w:cs="Times New Roman"/>
              </w:rPr>
              <w:t>10</w:t>
            </w:r>
          </w:p>
        </w:tc>
      </w:tr>
      <w:tr w:rsidR="00C17767" w:rsidTr="00BF0D1F">
        <w:tc>
          <w:tcPr>
            <w:tcW w:w="3227" w:type="dxa"/>
          </w:tcPr>
          <w:p w:rsidR="00C17767" w:rsidRPr="002C267A" w:rsidRDefault="00C17767" w:rsidP="00C17767">
            <w:pPr>
              <w:pStyle w:val="a7"/>
            </w:pPr>
            <w:r w:rsidRPr="002C267A">
              <w:rPr>
                <w:b/>
                <w:bCs/>
              </w:rPr>
              <w:t>economic</w:t>
            </w:r>
          </w:p>
        </w:tc>
        <w:tc>
          <w:tcPr>
            <w:tcW w:w="3118" w:type="dxa"/>
          </w:tcPr>
          <w:p w:rsidR="00C17767" w:rsidRDefault="00C17767" w:rsidP="00C17767">
            <w:pPr>
              <w:pStyle w:val="af8"/>
              <w:jc w:val="center"/>
              <w:rPr>
                <w:rFonts w:ascii="Times New Roman" w:hAnsi="Times New Roman" w:cs="Times New Roman"/>
              </w:rPr>
            </w:pPr>
            <w:r>
              <w:rPr>
                <w:rFonts w:ascii="Times New Roman" w:hAnsi="Times New Roman" w:cs="Times New Roman"/>
              </w:rPr>
              <w:t>-</w:t>
            </w:r>
          </w:p>
        </w:tc>
        <w:tc>
          <w:tcPr>
            <w:tcW w:w="3544" w:type="dxa"/>
          </w:tcPr>
          <w:p w:rsidR="00C17767" w:rsidRDefault="00C17767" w:rsidP="00C17767">
            <w:pPr>
              <w:pStyle w:val="af8"/>
              <w:jc w:val="center"/>
              <w:rPr>
                <w:rFonts w:ascii="Times New Roman" w:hAnsi="Times New Roman" w:cs="Times New Roman"/>
              </w:rPr>
            </w:pPr>
            <w:r>
              <w:rPr>
                <w:rFonts w:ascii="Times New Roman" w:hAnsi="Times New Roman" w:cs="Times New Roman"/>
              </w:rPr>
              <w:t>10</w:t>
            </w:r>
          </w:p>
        </w:tc>
      </w:tr>
      <w:tr w:rsidR="00C17767" w:rsidTr="00BF0D1F">
        <w:tc>
          <w:tcPr>
            <w:tcW w:w="3227" w:type="dxa"/>
          </w:tcPr>
          <w:p w:rsidR="00C17767" w:rsidRPr="002C267A" w:rsidRDefault="00C17767" w:rsidP="00C17767">
            <w:pPr>
              <w:pStyle w:val="a7"/>
            </w:pPr>
            <w:r w:rsidRPr="002C267A">
              <w:rPr>
                <w:b/>
                <w:bCs/>
              </w:rPr>
              <w:t>administrative</w:t>
            </w:r>
          </w:p>
        </w:tc>
        <w:tc>
          <w:tcPr>
            <w:tcW w:w="3118" w:type="dxa"/>
          </w:tcPr>
          <w:p w:rsidR="00C17767" w:rsidRDefault="00C17767" w:rsidP="00C17767">
            <w:pPr>
              <w:pStyle w:val="af8"/>
              <w:jc w:val="center"/>
              <w:rPr>
                <w:rFonts w:ascii="Times New Roman" w:hAnsi="Times New Roman" w:cs="Times New Roman"/>
              </w:rPr>
            </w:pPr>
            <w:r>
              <w:rPr>
                <w:rFonts w:ascii="Times New Roman" w:hAnsi="Times New Roman" w:cs="Times New Roman"/>
              </w:rPr>
              <w:t>1200</w:t>
            </w:r>
          </w:p>
        </w:tc>
        <w:tc>
          <w:tcPr>
            <w:tcW w:w="3544" w:type="dxa"/>
          </w:tcPr>
          <w:p w:rsidR="00C17767" w:rsidRDefault="00C17767" w:rsidP="00C17767">
            <w:pPr>
              <w:pStyle w:val="af8"/>
              <w:jc w:val="center"/>
              <w:rPr>
                <w:rFonts w:ascii="Times New Roman" w:hAnsi="Times New Roman" w:cs="Times New Roman"/>
              </w:rPr>
            </w:pPr>
            <w:r>
              <w:rPr>
                <w:rFonts w:ascii="Times New Roman" w:hAnsi="Times New Roman" w:cs="Times New Roman"/>
              </w:rPr>
              <w:t>10</w:t>
            </w:r>
          </w:p>
        </w:tc>
      </w:tr>
      <w:tr w:rsidR="00F90299" w:rsidTr="00BF0D1F">
        <w:tc>
          <w:tcPr>
            <w:tcW w:w="3227" w:type="dxa"/>
          </w:tcPr>
          <w:p w:rsidR="00F90299" w:rsidRPr="00C17767" w:rsidRDefault="00C17767" w:rsidP="00C17767">
            <w:pPr>
              <w:pStyle w:val="af8"/>
              <w:rPr>
                <w:rFonts w:ascii="Times New Roman" w:hAnsi="Times New Roman" w:cs="Times New Roman"/>
                <w:b/>
              </w:rPr>
            </w:pPr>
            <w:r w:rsidRPr="00C17767">
              <w:rPr>
                <w:rFonts w:ascii="Times New Roman" w:hAnsi="Times New Roman" w:cs="Times New Roman"/>
                <w:b/>
                <w:bCs/>
              </w:rPr>
              <w:t>IN GENERAL:</w:t>
            </w:r>
          </w:p>
        </w:tc>
        <w:tc>
          <w:tcPr>
            <w:tcW w:w="3118" w:type="dxa"/>
          </w:tcPr>
          <w:p w:rsidR="00F90299" w:rsidRPr="0052735A" w:rsidRDefault="00F90299" w:rsidP="00BF0D1F">
            <w:pPr>
              <w:pStyle w:val="af8"/>
              <w:jc w:val="center"/>
              <w:rPr>
                <w:rFonts w:ascii="Times New Roman" w:hAnsi="Times New Roman" w:cs="Times New Roman"/>
                <w:b/>
              </w:rPr>
            </w:pPr>
            <w:r>
              <w:rPr>
                <w:rFonts w:ascii="Times New Roman" w:hAnsi="Times New Roman" w:cs="Times New Roman"/>
                <w:b/>
              </w:rPr>
              <w:t>3000</w:t>
            </w:r>
          </w:p>
        </w:tc>
        <w:tc>
          <w:tcPr>
            <w:tcW w:w="3544" w:type="dxa"/>
          </w:tcPr>
          <w:p w:rsidR="00F90299" w:rsidRPr="0052735A" w:rsidRDefault="00F90299" w:rsidP="00BF0D1F">
            <w:pPr>
              <w:pStyle w:val="af8"/>
              <w:jc w:val="center"/>
              <w:rPr>
                <w:rFonts w:ascii="Times New Roman" w:hAnsi="Times New Roman" w:cs="Times New Roman"/>
                <w:b/>
              </w:rPr>
            </w:pPr>
            <w:r>
              <w:rPr>
                <w:rFonts w:ascii="Times New Roman" w:hAnsi="Times New Roman" w:cs="Times New Roman"/>
                <w:b/>
              </w:rPr>
              <w:t>30</w:t>
            </w:r>
          </w:p>
        </w:tc>
      </w:tr>
    </w:tbl>
    <w:p w:rsidR="00F90299" w:rsidRPr="0052735A" w:rsidRDefault="00F90299" w:rsidP="00F90299">
      <w:pPr>
        <w:pStyle w:val="af8"/>
        <w:jc w:val="center"/>
        <w:rPr>
          <w:rFonts w:ascii="Times New Roman" w:hAnsi="Times New Roman" w:cs="Times New Roman"/>
        </w:rPr>
      </w:pPr>
    </w:p>
    <w:p w:rsidR="00F90299" w:rsidRPr="00E02193" w:rsidRDefault="00F90299" w:rsidP="00F90299">
      <w:pPr>
        <w:spacing w:after="0" w:line="276" w:lineRule="auto"/>
        <w:rPr>
          <w:rFonts w:ascii="Times New Roman" w:eastAsia="Calibri" w:hAnsi="Times New Roman" w:cs="Times New Roman"/>
          <w:b/>
          <w:bCs/>
          <w:sz w:val="28"/>
          <w:szCs w:val="28"/>
          <w:lang w:val="uk-UA"/>
        </w:rPr>
      </w:pPr>
      <w:r w:rsidRPr="00E02193">
        <w:rPr>
          <w:rFonts w:ascii="Times New Roman" w:eastAsia="Calibri" w:hAnsi="Times New Roman" w:cs="Times New Roman"/>
          <w:noProof/>
          <w:kern w:val="24"/>
          <w:position w:val="1"/>
          <w:sz w:val="28"/>
          <w:szCs w:val="28"/>
          <w:lang w:val="uk-UA" w:eastAsia="uk-UA"/>
        </w:rPr>
        <w:drawing>
          <wp:anchor distT="0" distB="0" distL="114300" distR="114300" simplePos="0" relativeHeight="251692032" behindDoc="0" locked="0" layoutInCell="1" allowOverlap="1">
            <wp:simplePos x="0" y="0"/>
            <wp:positionH relativeFrom="margin">
              <wp:align>left</wp:align>
            </wp:positionH>
            <wp:positionV relativeFrom="paragraph">
              <wp:posOffset>242570</wp:posOffset>
            </wp:positionV>
            <wp:extent cx="1840230" cy="1306830"/>
            <wp:effectExtent l="0" t="0" r="7620" b="7620"/>
            <wp:wrapSquare wrapText="bothSides"/>
            <wp:docPr id="23" name="Рисунок 23" descr="ÐÐ¾Ð²âÑÐ·Ð°Ð½Ðµ Ð·Ð¾Ð±ÑÐ°Ð¶ÐµÐ½Ð½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ÐÐ¾Ð²âÑÐ·Ð°Ð½Ðµ Ð·Ð¾Ð±ÑÐ°Ð¶ÐµÐ½Ð½Ñ"/>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0361" r="10361" b="-180"/>
                    <a:stretch/>
                  </pic:blipFill>
                  <pic:spPr bwMode="auto">
                    <a:xfrm>
                      <a:off x="0" y="0"/>
                      <a:ext cx="1840230" cy="1306830"/>
                    </a:xfrm>
                    <a:prstGeom prst="rect">
                      <a:avLst/>
                    </a:prstGeom>
                    <a:noFill/>
                    <a:ln>
                      <a:noFill/>
                    </a:ln>
                    <a:extLst>
                      <a:ext uri="{53640926-AAD7-44D8-BBD7-CCE9431645EC}">
                        <a14:shadowObscured xmlns:a14="http://schemas.microsoft.com/office/drawing/2010/main"/>
                      </a:ext>
                    </a:extLst>
                  </pic:spPr>
                </pic:pic>
              </a:graphicData>
            </a:graphic>
          </wp:anchor>
        </w:drawing>
      </w:r>
    </w:p>
    <w:p w:rsidR="00C17767" w:rsidRPr="00C17767" w:rsidRDefault="00C17767" w:rsidP="00C17767">
      <w:pPr>
        <w:pStyle w:val="a7"/>
        <w:jc w:val="center"/>
        <w:rPr>
          <w:sz w:val="28"/>
          <w:szCs w:val="28"/>
        </w:rPr>
      </w:pPr>
      <w:r w:rsidRPr="00C17767">
        <w:rPr>
          <w:b/>
          <w:bCs/>
          <w:sz w:val="28"/>
          <w:szCs w:val="28"/>
        </w:rPr>
        <w:t>For scientific and methodological support of the High Council of Justice</w:t>
      </w:r>
    </w:p>
    <w:p w:rsidR="00F90299" w:rsidRPr="00E02193" w:rsidRDefault="00F90299" w:rsidP="00F90299">
      <w:pPr>
        <w:spacing w:after="0" w:line="276" w:lineRule="auto"/>
        <w:ind w:firstLine="426"/>
        <w:jc w:val="both"/>
        <w:rPr>
          <w:rFonts w:ascii="Times New Roman" w:eastAsia="Calibri" w:hAnsi="Times New Roman" w:cs="Times New Roman"/>
          <w:b/>
          <w:sz w:val="28"/>
          <w:szCs w:val="28"/>
          <w:u w:val="single"/>
          <w:lang w:val="uk-UA"/>
        </w:rPr>
      </w:pPr>
    </w:p>
    <w:p w:rsidR="00C17767" w:rsidRPr="00C17767" w:rsidRDefault="00C17767" w:rsidP="00847DB5">
      <w:pPr>
        <w:pStyle w:val="a7"/>
        <w:numPr>
          <w:ilvl w:val="0"/>
          <w:numId w:val="3"/>
        </w:numPr>
        <w:jc w:val="both"/>
        <w:rPr>
          <w:sz w:val="28"/>
          <w:szCs w:val="28"/>
        </w:rPr>
      </w:pPr>
      <w:r w:rsidRPr="00C17767">
        <w:rPr>
          <w:b/>
          <w:bCs/>
          <w:sz w:val="28"/>
          <w:szCs w:val="28"/>
          <w:u w:val="single"/>
        </w:rPr>
        <w:t>31 opinions were prepared on the HCJ's requests</w:t>
      </w:r>
      <w:r w:rsidRPr="00C17767">
        <w:rPr>
          <w:sz w:val="28"/>
          <w:szCs w:val="28"/>
        </w:rPr>
        <w:t xml:space="preserve"> regarding draft laws on the judiciary, the functioning of the judiciary and the status of judges:</w:t>
      </w:r>
    </w:p>
    <w:p w:rsidR="00C17767" w:rsidRPr="00C17767" w:rsidRDefault="00C17767" w:rsidP="00847DB5">
      <w:pPr>
        <w:pStyle w:val="a7"/>
        <w:numPr>
          <w:ilvl w:val="0"/>
          <w:numId w:val="3"/>
        </w:numPr>
        <w:jc w:val="both"/>
        <w:rPr>
          <w:sz w:val="28"/>
          <w:szCs w:val="28"/>
        </w:rPr>
      </w:pPr>
      <w:r w:rsidRPr="00C17767">
        <w:rPr>
          <w:sz w:val="28"/>
          <w:szCs w:val="28"/>
        </w:rPr>
        <w:t>on the preparation of the Annual Report on the Status of Judicial Independence in Ukraine for 2020;</w:t>
      </w:r>
    </w:p>
    <w:p w:rsidR="00C17767" w:rsidRPr="00C17767" w:rsidRDefault="00C17767" w:rsidP="00847DB5">
      <w:pPr>
        <w:pStyle w:val="a7"/>
        <w:numPr>
          <w:ilvl w:val="0"/>
          <w:numId w:val="3"/>
        </w:numPr>
        <w:jc w:val="both"/>
        <w:rPr>
          <w:sz w:val="28"/>
          <w:szCs w:val="28"/>
        </w:rPr>
      </w:pPr>
      <w:r w:rsidRPr="00C17767">
        <w:rPr>
          <w:sz w:val="28"/>
          <w:szCs w:val="28"/>
        </w:rPr>
        <w:t>on the preparation of the draft Annual Report on the Status of Judicial Independence in Ukraine for 2021;</w:t>
      </w:r>
    </w:p>
    <w:p w:rsidR="00C17767" w:rsidRPr="00C17767" w:rsidRDefault="00C17767" w:rsidP="00847DB5">
      <w:pPr>
        <w:pStyle w:val="a7"/>
        <w:numPr>
          <w:ilvl w:val="0"/>
          <w:numId w:val="3"/>
        </w:numPr>
        <w:jc w:val="both"/>
        <w:rPr>
          <w:sz w:val="28"/>
          <w:szCs w:val="28"/>
        </w:rPr>
      </w:pPr>
      <w:r w:rsidRPr="00C17767">
        <w:rPr>
          <w:sz w:val="28"/>
          <w:szCs w:val="28"/>
        </w:rPr>
        <w:t>on expressing a position on the draft Procedure for Conducting a Full Verification of the Declaration of a Person Authorised to Perform the Functions of the State or Local Self-Government, Submitted by a Judge and the Procedure for Monitoring the Lifestyle of a Judge, prepared by the National Agency for the Prevention of Corruption;</w:t>
      </w:r>
    </w:p>
    <w:p w:rsidR="00C17767" w:rsidRPr="00C17767" w:rsidRDefault="00C17767" w:rsidP="00847DB5">
      <w:pPr>
        <w:pStyle w:val="a7"/>
        <w:numPr>
          <w:ilvl w:val="0"/>
          <w:numId w:val="3"/>
        </w:numPr>
        <w:jc w:val="both"/>
        <w:rPr>
          <w:sz w:val="28"/>
          <w:szCs w:val="28"/>
        </w:rPr>
      </w:pPr>
      <w:r w:rsidRPr="00C17767">
        <w:rPr>
          <w:sz w:val="28"/>
          <w:szCs w:val="28"/>
        </w:rPr>
        <w:t>on expressing a position on the draft Law of Ukraine ‘On Amendments to the Law of Ukraine “On the Judiciary and the Status of Judges” and other legislative acts of Ukraine regarding the reasoning of court decisions’ (registration No. 4637);</w:t>
      </w:r>
    </w:p>
    <w:p w:rsidR="00C17767" w:rsidRPr="00C17767" w:rsidRDefault="00C17767" w:rsidP="00847DB5">
      <w:pPr>
        <w:pStyle w:val="a7"/>
        <w:numPr>
          <w:ilvl w:val="0"/>
          <w:numId w:val="3"/>
        </w:numPr>
        <w:jc w:val="both"/>
        <w:rPr>
          <w:sz w:val="28"/>
          <w:szCs w:val="28"/>
        </w:rPr>
      </w:pPr>
      <w:r w:rsidRPr="00C17767">
        <w:rPr>
          <w:sz w:val="28"/>
          <w:szCs w:val="28"/>
        </w:rPr>
        <w:t>on expressing a position on the draft Law of Ukraine ‘On Amendments to the Law of Ukraine “On Enforcement of Judgments and Application of the Practice of the European Court of Human Rights” (regarding improvement of the procedure for enforcement of judgments of the European Court of Human Rights) (registration No. 4316);</w:t>
      </w:r>
    </w:p>
    <w:p w:rsidR="00C17767" w:rsidRPr="00C17767" w:rsidRDefault="00C17767" w:rsidP="00847DB5">
      <w:pPr>
        <w:pStyle w:val="a7"/>
        <w:numPr>
          <w:ilvl w:val="0"/>
          <w:numId w:val="3"/>
        </w:numPr>
        <w:jc w:val="both"/>
        <w:rPr>
          <w:sz w:val="28"/>
          <w:szCs w:val="28"/>
        </w:rPr>
      </w:pPr>
      <w:r w:rsidRPr="00C17767">
        <w:rPr>
          <w:sz w:val="28"/>
          <w:szCs w:val="28"/>
        </w:rPr>
        <w:lastRenderedPageBreak/>
        <w:t>on expressing a position on the Draft Law of Ukraine ‘On Amendments to Certain Laws of Ukraine on the Procedure for Election (Appointment) to the Positions of Members of the High Council of Justice and Activities of Disciplinary Inspectors of the High Council of Justice’ (registration No. 5068);</w:t>
      </w:r>
    </w:p>
    <w:p w:rsidR="00C17767" w:rsidRPr="00C17767" w:rsidRDefault="00C17767" w:rsidP="00847DB5">
      <w:pPr>
        <w:pStyle w:val="a7"/>
        <w:numPr>
          <w:ilvl w:val="0"/>
          <w:numId w:val="3"/>
        </w:numPr>
        <w:jc w:val="both"/>
        <w:rPr>
          <w:sz w:val="28"/>
          <w:szCs w:val="28"/>
        </w:rPr>
      </w:pPr>
      <w:r w:rsidRPr="00C17767">
        <w:rPr>
          <w:sz w:val="28"/>
          <w:szCs w:val="28"/>
        </w:rPr>
        <w:t>on expressing a position on the draft Law of Ukraine ‘On Amendments to the Law of Ukraine “On the Judiciary and the Status of Judges” (regarding disciplinary liability of a judge who has delivered a judgement in violation of Article 18 of the Convention for the Protection of Human Rights and Fundamental Freedoms, as established by the final judgement of the European Court of Human Rights)’ (registration No. 5218);</w:t>
      </w:r>
    </w:p>
    <w:p w:rsidR="00C17767" w:rsidRPr="00C17767" w:rsidRDefault="00C17767" w:rsidP="00847DB5">
      <w:pPr>
        <w:pStyle w:val="a7"/>
        <w:numPr>
          <w:ilvl w:val="0"/>
          <w:numId w:val="3"/>
        </w:numPr>
        <w:jc w:val="both"/>
        <w:rPr>
          <w:sz w:val="28"/>
          <w:szCs w:val="28"/>
        </w:rPr>
      </w:pPr>
      <w:r w:rsidRPr="00C17767">
        <w:rPr>
          <w:sz w:val="28"/>
          <w:szCs w:val="28"/>
        </w:rPr>
        <w:t>on expressing a position on the Draft Law of Ukraine ‘On Amendments to Certain Legislative Acts of Ukraine in connection with the Ratification of the Convention on Choice of Court Agreements’ (registration No. 5120);</w:t>
      </w:r>
    </w:p>
    <w:p w:rsidR="00C17767" w:rsidRPr="00C17767" w:rsidRDefault="00C17767" w:rsidP="00847DB5">
      <w:pPr>
        <w:pStyle w:val="a7"/>
        <w:numPr>
          <w:ilvl w:val="0"/>
          <w:numId w:val="3"/>
        </w:numPr>
        <w:jc w:val="both"/>
        <w:rPr>
          <w:sz w:val="28"/>
          <w:szCs w:val="28"/>
        </w:rPr>
      </w:pPr>
      <w:r w:rsidRPr="00C17767">
        <w:rPr>
          <w:sz w:val="28"/>
          <w:szCs w:val="28"/>
        </w:rPr>
        <w:t>on expressing a position on the Draft Law of Ukraine ‘On Amendments to the Law of Ukraine “On the State Budget of Ukraine for 2021” on increasing expenditures for the administration of justice by local and appellate courts’ (registration No. 5304);</w:t>
      </w:r>
    </w:p>
    <w:p w:rsidR="009E3A96" w:rsidRPr="009E3A96" w:rsidRDefault="009E3A96" w:rsidP="00847DB5">
      <w:pPr>
        <w:pStyle w:val="a7"/>
        <w:numPr>
          <w:ilvl w:val="0"/>
          <w:numId w:val="33"/>
        </w:numPr>
        <w:jc w:val="both"/>
        <w:rPr>
          <w:sz w:val="28"/>
          <w:szCs w:val="28"/>
        </w:rPr>
      </w:pPr>
      <w:r w:rsidRPr="009E3A96">
        <w:rPr>
          <w:sz w:val="28"/>
          <w:szCs w:val="28"/>
        </w:rPr>
        <w:t>on expressing a position on the draft Law of Ukraine ‘On Amendments to the Law of Ukraine “On the Judiciary and the Status of Judges” and other laws regarding the remote holding of the Congress of Judges of Ukraine on personnel issues’ (registration No. 5231);</w:t>
      </w:r>
    </w:p>
    <w:p w:rsidR="009E3A96" w:rsidRPr="009E3A96" w:rsidRDefault="009E3A96" w:rsidP="00847DB5">
      <w:pPr>
        <w:pStyle w:val="a7"/>
        <w:numPr>
          <w:ilvl w:val="0"/>
          <w:numId w:val="33"/>
        </w:numPr>
        <w:jc w:val="both"/>
        <w:rPr>
          <w:sz w:val="28"/>
          <w:szCs w:val="28"/>
        </w:rPr>
      </w:pPr>
      <w:r w:rsidRPr="009E3A96">
        <w:rPr>
          <w:sz w:val="28"/>
          <w:szCs w:val="28"/>
        </w:rPr>
        <w:t>on the judgement of the European Court of Human Rights in the case of Kurochenko and Zolotukhin v. Ukraine (applications No. 20936/16; No. 53257/16);</w:t>
      </w:r>
    </w:p>
    <w:p w:rsidR="009E3A96" w:rsidRPr="009E3A96" w:rsidRDefault="009E3A96" w:rsidP="00847DB5">
      <w:pPr>
        <w:pStyle w:val="a7"/>
        <w:numPr>
          <w:ilvl w:val="0"/>
          <w:numId w:val="33"/>
        </w:numPr>
        <w:jc w:val="both"/>
        <w:rPr>
          <w:sz w:val="28"/>
          <w:szCs w:val="28"/>
        </w:rPr>
      </w:pPr>
      <w:r w:rsidRPr="009E3A96">
        <w:rPr>
          <w:sz w:val="28"/>
          <w:szCs w:val="28"/>
        </w:rPr>
        <w:t xml:space="preserve">on expressing a position on the draft Law of Ukraine ‘On Liquidation of the District Administrative Court of Kyiv and Establishment of the Kyiv City District Administrative Court’ (registration </w:t>
      </w:r>
    </w:p>
    <w:p w:rsidR="009E3A96" w:rsidRPr="009E3A96" w:rsidRDefault="009E3A96" w:rsidP="00847DB5">
      <w:pPr>
        <w:pStyle w:val="a7"/>
        <w:numPr>
          <w:ilvl w:val="0"/>
          <w:numId w:val="33"/>
        </w:numPr>
        <w:jc w:val="both"/>
        <w:rPr>
          <w:sz w:val="28"/>
          <w:szCs w:val="28"/>
        </w:rPr>
      </w:pPr>
      <w:r w:rsidRPr="009E3A96">
        <w:rPr>
          <w:sz w:val="28"/>
          <w:szCs w:val="28"/>
        </w:rPr>
        <w:t>No. 5369) and the draft Law of Ukraine ‘On Amendments to Section XII “Final and Transitional Provisions” of the Law of Ukraine “On the Judiciary and the Status of Judges” (registration No. 5370);</w:t>
      </w:r>
    </w:p>
    <w:p w:rsidR="009E3A96" w:rsidRPr="009E3A96" w:rsidRDefault="009E3A96" w:rsidP="00847DB5">
      <w:pPr>
        <w:pStyle w:val="a7"/>
        <w:numPr>
          <w:ilvl w:val="0"/>
          <w:numId w:val="33"/>
        </w:numPr>
        <w:jc w:val="both"/>
        <w:rPr>
          <w:sz w:val="28"/>
          <w:szCs w:val="28"/>
        </w:rPr>
      </w:pPr>
      <w:r w:rsidRPr="009E3A96">
        <w:rPr>
          <w:sz w:val="28"/>
          <w:szCs w:val="28"/>
        </w:rPr>
        <w:t>on expressing a position on the draft Law of Ukraine ‘On Amendments to the Law of Ukraine “On the Judiciary and Status of Judges” regarding the regulation of remuneration of judicial assistants and court reporters’ (registration No. 5361);</w:t>
      </w:r>
    </w:p>
    <w:p w:rsidR="009E3A96" w:rsidRPr="009E3A96" w:rsidRDefault="009E3A96" w:rsidP="00847DB5">
      <w:pPr>
        <w:pStyle w:val="a7"/>
        <w:numPr>
          <w:ilvl w:val="0"/>
          <w:numId w:val="33"/>
        </w:numPr>
        <w:jc w:val="both"/>
        <w:rPr>
          <w:sz w:val="28"/>
          <w:szCs w:val="28"/>
        </w:rPr>
      </w:pPr>
      <w:r w:rsidRPr="009E3A96">
        <w:rPr>
          <w:sz w:val="28"/>
          <w:szCs w:val="28"/>
        </w:rPr>
        <w:t>on expressing a position on the draft Law of Ukraine ‘On Amendments to the Law of Ukraine “On the Judiciary and the Status of Judges” regarding the territorial jurisdiction of local courts in Ukraine until the adoption of the law on changing the system of local courts in Ukraine in connection with the formation (liquidation) of districts’ (registration No. 5387);</w:t>
      </w:r>
    </w:p>
    <w:p w:rsidR="009E3A96" w:rsidRPr="009E3A96" w:rsidRDefault="009E3A96" w:rsidP="00847DB5">
      <w:pPr>
        <w:pStyle w:val="a7"/>
        <w:numPr>
          <w:ilvl w:val="0"/>
          <w:numId w:val="33"/>
        </w:numPr>
        <w:jc w:val="both"/>
        <w:rPr>
          <w:sz w:val="28"/>
          <w:szCs w:val="28"/>
        </w:rPr>
      </w:pPr>
      <w:r w:rsidRPr="009E3A96">
        <w:rPr>
          <w:sz w:val="28"/>
          <w:szCs w:val="28"/>
        </w:rPr>
        <w:lastRenderedPageBreak/>
        <w:t>on expressing a position on the Draft Law of Ukraine ‘On Amendments to the Criminal Procedure Code of Ukraine on the Introduction of an Information and Telecommunication System of Pre-trial Investigation’ (registration No. 5246);</w:t>
      </w:r>
    </w:p>
    <w:p w:rsidR="009E3A96" w:rsidRPr="009E3A96" w:rsidRDefault="009E3A96" w:rsidP="00847DB5">
      <w:pPr>
        <w:pStyle w:val="a7"/>
        <w:numPr>
          <w:ilvl w:val="0"/>
          <w:numId w:val="33"/>
        </w:numPr>
        <w:jc w:val="both"/>
        <w:rPr>
          <w:sz w:val="28"/>
          <w:szCs w:val="28"/>
        </w:rPr>
      </w:pPr>
      <w:r w:rsidRPr="009E3A96">
        <w:rPr>
          <w:sz w:val="28"/>
          <w:szCs w:val="28"/>
        </w:rPr>
        <w:t>on expressing a position on the draft Law of Ukraine ‘On Amendments to the Law of Ukraine “On the Judiciary and the Status of Judges” (to bring the provisions of the Law in line with the Decision of the Constitutional Court of Ukraine of 18.02.2020 No. 2-р/2020)’ (registration No. 5456);</w:t>
      </w:r>
    </w:p>
    <w:p w:rsidR="009E3A96" w:rsidRPr="009E3A96" w:rsidRDefault="009E3A96" w:rsidP="00847DB5">
      <w:pPr>
        <w:pStyle w:val="a7"/>
        <w:numPr>
          <w:ilvl w:val="0"/>
          <w:numId w:val="33"/>
        </w:numPr>
        <w:jc w:val="both"/>
        <w:rPr>
          <w:sz w:val="28"/>
          <w:szCs w:val="28"/>
        </w:rPr>
      </w:pPr>
      <w:r w:rsidRPr="009E3A96">
        <w:rPr>
          <w:sz w:val="28"/>
          <w:szCs w:val="28"/>
        </w:rPr>
        <w:t>on the judgement of the European Court of Human Rights in the case of Kurochenko and Zolotukhin v. Ukraine (applications No. 20936/16; No. 53257/16) and in addition to the letter of the National School of Judges of Ukraine dated 20.04.2021 No. 16-05/841);</w:t>
      </w:r>
    </w:p>
    <w:p w:rsidR="009E3A96" w:rsidRPr="009E3A96" w:rsidRDefault="009E3A96" w:rsidP="00847DB5">
      <w:pPr>
        <w:pStyle w:val="a7"/>
        <w:numPr>
          <w:ilvl w:val="0"/>
          <w:numId w:val="34"/>
        </w:numPr>
        <w:jc w:val="both"/>
        <w:rPr>
          <w:sz w:val="28"/>
          <w:szCs w:val="28"/>
        </w:rPr>
      </w:pPr>
      <w:r w:rsidRPr="009E3A96">
        <w:rPr>
          <w:sz w:val="28"/>
          <w:szCs w:val="28"/>
        </w:rPr>
        <w:t>on expressing a position on the draft Law of Ukraine ‘On Amendments to the Law of Ukraine “On the Judiciary and the Status of Judges” to ensure the phased implementation of the Unified Judicial Information and Telecommunication System’ (registration No. 5433);</w:t>
      </w:r>
    </w:p>
    <w:p w:rsidR="009E3A96" w:rsidRPr="009E3A96" w:rsidRDefault="009E3A96" w:rsidP="00847DB5">
      <w:pPr>
        <w:pStyle w:val="a7"/>
        <w:numPr>
          <w:ilvl w:val="0"/>
          <w:numId w:val="34"/>
        </w:numPr>
        <w:jc w:val="both"/>
        <w:rPr>
          <w:sz w:val="28"/>
          <w:szCs w:val="28"/>
        </w:rPr>
      </w:pPr>
      <w:r w:rsidRPr="009E3A96">
        <w:rPr>
          <w:sz w:val="28"/>
          <w:szCs w:val="28"/>
        </w:rPr>
        <w:t>on expressing a position on the draft Law of Ukraine ‘On Amendments to the Law of Ukraine “On the Judiciary and the Status of Judges” and to some other legislative acts of Ukraine regarding dismissal of a judge from office and compensation for damage caused to an individual as a result of a judge's decision not complying with the provisions of the Convention for the Protection of Human Rights and Fundamental Freedoms’ (registration No. 5533);</w:t>
      </w:r>
    </w:p>
    <w:p w:rsidR="009E3A96" w:rsidRPr="009E3A96" w:rsidRDefault="009E3A96" w:rsidP="00847DB5">
      <w:pPr>
        <w:pStyle w:val="a7"/>
        <w:numPr>
          <w:ilvl w:val="0"/>
          <w:numId w:val="34"/>
        </w:numPr>
        <w:jc w:val="both"/>
        <w:rPr>
          <w:sz w:val="28"/>
          <w:szCs w:val="28"/>
        </w:rPr>
      </w:pPr>
      <w:r w:rsidRPr="009E3A96">
        <w:rPr>
          <w:sz w:val="28"/>
          <w:szCs w:val="28"/>
        </w:rPr>
        <w:t>on expressing a position on the standards of judges' working hours, the ratio of the number of court staff to the number of judges, and examples of typical court staff structures;</w:t>
      </w:r>
    </w:p>
    <w:p w:rsidR="009E3A96" w:rsidRPr="009E3A96" w:rsidRDefault="009E3A96" w:rsidP="00847DB5">
      <w:pPr>
        <w:pStyle w:val="a7"/>
        <w:numPr>
          <w:ilvl w:val="0"/>
          <w:numId w:val="34"/>
        </w:numPr>
        <w:jc w:val="both"/>
        <w:rPr>
          <w:sz w:val="28"/>
          <w:szCs w:val="28"/>
        </w:rPr>
      </w:pPr>
      <w:r w:rsidRPr="009E3A96">
        <w:rPr>
          <w:sz w:val="28"/>
          <w:szCs w:val="28"/>
        </w:rPr>
        <w:t>on expressing a position on the draft Law of Ukraine ‘On Amendments to the Law of Ukraine “On the Judiciary and the Status of Judges” regarding limitation of influence of judges holding administrative positions’ (registration No. 5778);</w:t>
      </w:r>
    </w:p>
    <w:p w:rsidR="009E3A96" w:rsidRPr="009E3A96" w:rsidRDefault="009E3A96" w:rsidP="00847DB5">
      <w:pPr>
        <w:pStyle w:val="a7"/>
        <w:numPr>
          <w:ilvl w:val="0"/>
          <w:numId w:val="34"/>
        </w:numPr>
        <w:jc w:val="both"/>
        <w:rPr>
          <w:sz w:val="28"/>
          <w:szCs w:val="28"/>
        </w:rPr>
      </w:pPr>
      <w:r w:rsidRPr="009E3A96">
        <w:rPr>
          <w:sz w:val="28"/>
          <w:szCs w:val="28"/>
        </w:rPr>
        <w:t>on expressing a position on the draft Law of Ukraine ‘On Amendments to the Law of Ukraine “On the Judiciary and the Status of Judges” on eliminating legislative gaps in the procedure for qualification assessment of judges’ (registration No. 5794);</w:t>
      </w:r>
    </w:p>
    <w:p w:rsidR="009E3A96" w:rsidRPr="009E3A96" w:rsidRDefault="009E3A96" w:rsidP="00847DB5">
      <w:pPr>
        <w:pStyle w:val="a7"/>
        <w:numPr>
          <w:ilvl w:val="0"/>
          <w:numId w:val="34"/>
        </w:numPr>
        <w:jc w:val="both"/>
        <w:rPr>
          <w:sz w:val="28"/>
          <w:szCs w:val="28"/>
        </w:rPr>
      </w:pPr>
      <w:r w:rsidRPr="009E3A96">
        <w:rPr>
          <w:sz w:val="28"/>
          <w:szCs w:val="28"/>
        </w:rPr>
        <w:t>on expressing the position on the draft Law of Ukraine ‘On Amendments to the Law of Ukraine “On the Judiciary and the Status of Judges” and some other Laws of Ukraine regarding the appointment of judges appointed for a five-year term before the entry into force of the Law of Ukraine “On Amendments to the Constitution of Ukraine (regarding Justice)” (registration No. 5889);</w:t>
      </w:r>
    </w:p>
    <w:p w:rsidR="009E3A96" w:rsidRPr="009E3A96" w:rsidRDefault="009E3A96" w:rsidP="00847DB5">
      <w:pPr>
        <w:pStyle w:val="a7"/>
        <w:numPr>
          <w:ilvl w:val="0"/>
          <w:numId w:val="34"/>
        </w:numPr>
        <w:jc w:val="both"/>
        <w:rPr>
          <w:sz w:val="28"/>
          <w:szCs w:val="28"/>
        </w:rPr>
      </w:pPr>
      <w:r w:rsidRPr="009E3A96">
        <w:rPr>
          <w:sz w:val="28"/>
          <w:szCs w:val="28"/>
        </w:rPr>
        <w:t>on expressing a position on the draft Law of Ukraine ‘On Amendments to Section XII “Final and Transitional Provisions” of the Law of Ukraine “On the Judiciary and Status of Judges” regarding the secondment of judges to ensure the administration of justice and eliminate the threat of termination of the work of appellate courts’ (registration No. 6049);</w:t>
      </w:r>
    </w:p>
    <w:p w:rsidR="009E3A96" w:rsidRPr="009E3A96" w:rsidRDefault="009E3A96" w:rsidP="00847DB5">
      <w:pPr>
        <w:pStyle w:val="a7"/>
        <w:numPr>
          <w:ilvl w:val="0"/>
          <w:numId w:val="34"/>
        </w:numPr>
        <w:jc w:val="both"/>
        <w:rPr>
          <w:sz w:val="28"/>
          <w:szCs w:val="28"/>
        </w:rPr>
      </w:pPr>
      <w:r w:rsidRPr="009E3A96">
        <w:rPr>
          <w:sz w:val="28"/>
          <w:szCs w:val="28"/>
        </w:rPr>
        <w:lastRenderedPageBreak/>
        <w:t>on expressing a position on the draft Law of Ukraine ‘On Amendments to the Law of Ukraine “On the Judiciary and the Status of Judges” on certain issues of support of judges’ (registration No. 5882);</w:t>
      </w:r>
    </w:p>
    <w:p w:rsidR="009E3A96" w:rsidRPr="009E3A96" w:rsidRDefault="009E3A96" w:rsidP="00847DB5">
      <w:pPr>
        <w:pStyle w:val="a7"/>
        <w:numPr>
          <w:ilvl w:val="0"/>
          <w:numId w:val="34"/>
        </w:numPr>
        <w:jc w:val="both"/>
        <w:rPr>
          <w:sz w:val="28"/>
          <w:szCs w:val="28"/>
        </w:rPr>
      </w:pPr>
      <w:r w:rsidRPr="009E3A96">
        <w:rPr>
          <w:sz w:val="28"/>
          <w:szCs w:val="28"/>
        </w:rPr>
        <w:t>on expressing the position on the draft Law of Ukraine ‘On Amendments to Section XII “Final and Transitional Provisions” of the Law of Ukraine “On the Judiciary and Status of Judges” regarding the secondment of judges to ensure the administration of justice and eliminate the threat of termination of the work of appellate courts’ (registration No. 6049);</w:t>
      </w:r>
    </w:p>
    <w:p w:rsidR="009E3A96" w:rsidRPr="009E3A96" w:rsidRDefault="009E3A96" w:rsidP="00847DB5">
      <w:pPr>
        <w:pStyle w:val="a7"/>
        <w:numPr>
          <w:ilvl w:val="0"/>
          <w:numId w:val="34"/>
        </w:numPr>
        <w:jc w:val="both"/>
        <w:rPr>
          <w:sz w:val="28"/>
          <w:szCs w:val="28"/>
        </w:rPr>
      </w:pPr>
      <w:r w:rsidRPr="009E3A96">
        <w:rPr>
          <w:sz w:val="28"/>
          <w:szCs w:val="28"/>
        </w:rPr>
        <w:t>on expressing the position on the draft Law of Ukraine ‘On Amendments to Article 109 of the Law of Ukraine “On the Judiciary and Status of Judges” regarding the calculation of the time limits for applying disciplinary sanctions’ (registration No. 6113);</w:t>
      </w:r>
    </w:p>
    <w:p w:rsidR="009E3A96" w:rsidRPr="009E3A96" w:rsidRDefault="009E3A96" w:rsidP="00847DB5">
      <w:pPr>
        <w:pStyle w:val="a7"/>
        <w:numPr>
          <w:ilvl w:val="0"/>
          <w:numId w:val="34"/>
        </w:numPr>
        <w:jc w:val="both"/>
        <w:rPr>
          <w:sz w:val="28"/>
          <w:szCs w:val="28"/>
        </w:rPr>
      </w:pPr>
      <w:r w:rsidRPr="009E3A96">
        <w:rPr>
          <w:sz w:val="28"/>
          <w:szCs w:val="28"/>
        </w:rPr>
        <w:t>on expressing a position on the draft Law of Ukraine ‘On Amendments to the Criminal Procedure Code of Ukraine on Improving Citizens’ Access to Justice’ (registration No. 6126);</w:t>
      </w:r>
    </w:p>
    <w:p w:rsidR="009E3A96" w:rsidRPr="009E3A96" w:rsidRDefault="009E3A96" w:rsidP="00847DB5">
      <w:pPr>
        <w:pStyle w:val="a7"/>
        <w:numPr>
          <w:ilvl w:val="0"/>
          <w:numId w:val="34"/>
        </w:numPr>
        <w:jc w:val="both"/>
        <w:rPr>
          <w:sz w:val="28"/>
          <w:szCs w:val="28"/>
        </w:rPr>
      </w:pPr>
      <w:r w:rsidRPr="009E3A96">
        <w:rPr>
          <w:sz w:val="28"/>
          <w:szCs w:val="28"/>
        </w:rPr>
        <w:t>on expressing the position on the draft Law of Ukraine ‘On Amendments to the Law of Ukraine “On the Judiciary and the Status of Judges” on de-offshoring the income of national public figures’ (registration No. 6143);</w:t>
      </w:r>
    </w:p>
    <w:p w:rsidR="009E3A96" w:rsidRPr="009E3A96" w:rsidRDefault="009E3A96" w:rsidP="00847DB5">
      <w:pPr>
        <w:pStyle w:val="a7"/>
        <w:numPr>
          <w:ilvl w:val="0"/>
          <w:numId w:val="34"/>
        </w:numPr>
        <w:jc w:val="both"/>
        <w:rPr>
          <w:sz w:val="28"/>
          <w:szCs w:val="28"/>
        </w:rPr>
      </w:pPr>
      <w:r w:rsidRPr="009E3A96">
        <w:rPr>
          <w:sz w:val="28"/>
          <w:szCs w:val="28"/>
        </w:rPr>
        <w:t>on expressing a position on the draft Law of Ukraine ‘On Amendments to Article 133 of the Law of Ukraine “On the Judiciary and the Status of Judges” regarding the settlement of conflicts of interest’ (registration No. 6180);</w:t>
      </w:r>
    </w:p>
    <w:p w:rsidR="009E3A96" w:rsidRPr="009E3A96" w:rsidRDefault="009E3A96" w:rsidP="00847DB5">
      <w:pPr>
        <w:pStyle w:val="a7"/>
        <w:numPr>
          <w:ilvl w:val="0"/>
          <w:numId w:val="34"/>
        </w:numPr>
        <w:jc w:val="both"/>
        <w:rPr>
          <w:sz w:val="28"/>
          <w:szCs w:val="28"/>
        </w:rPr>
      </w:pPr>
      <w:r w:rsidRPr="009E3A96">
        <w:rPr>
          <w:sz w:val="28"/>
          <w:szCs w:val="28"/>
        </w:rPr>
        <w:t>on expressing a position on the draft Law of Ukraine ‘On Amendments to the Law of Ukraine “On the Judiciary and Status of Judges” regarding the settlement of the issue of remuneration of court employees’ (registration No. 6311).</w:t>
      </w:r>
    </w:p>
    <w:p w:rsidR="009E3A96" w:rsidRPr="009E3A96" w:rsidRDefault="009E3A96" w:rsidP="009E3A96">
      <w:pPr>
        <w:pStyle w:val="a7"/>
        <w:jc w:val="both"/>
        <w:rPr>
          <w:sz w:val="28"/>
          <w:szCs w:val="28"/>
        </w:rPr>
      </w:pPr>
      <w:r w:rsidRPr="009E3A96">
        <w:rPr>
          <w:sz w:val="28"/>
          <w:szCs w:val="28"/>
        </w:rPr>
        <w:t>More than 20 letters of response to inquiries from the Verkhovna Rada of Ukraine, representatives of central executive authorities, bodies and institutions of the justice system on improving the efficiency of the courts were also prepared.</w:t>
      </w:r>
    </w:p>
    <w:p w:rsidR="009E3A96" w:rsidRPr="00AD01E7" w:rsidRDefault="009E3A96" w:rsidP="00C35A4B">
      <w:pPr>
        <w:pStyle w:val="1"/>
        <w:jc w:val="center"/>
        <w:rPr>
          <w:rFonts w:ascii="Times New Roman" w:hAnsi="Times New Roman" w:cs="Times New Roman"/>
          <w:lang w:val="en-US" w:eastAsia="uk-UA"/>
        </w:rPr>
      </w:pPr>
      <w:r w:rsidRPr="00AD01E7">
        <w:rPr>
          <w:rFonts w:ascii="Times New Roman" w:hAnsi="Times New Roman" w:cs="Times New Roman"/>
          <w:lang w:val="en-US"/>
        </w:rPr>
        <w:t>Scientific and methodological support for psychological training of judges</w:t>
      </w:r>
    </w:p>
    <w:p w:rsidR="009E3A96" w:rsidRPr="00AD01E7" w:rsidRDefault="009E3A96" w:rsidP="00AD01E7">
      <w:pPr>
        <w:pStyle w:val="a7"/>
        <w:ind w:firstLine="708"/>
        <w:jc w:val="both"/>
        <w:rPr>
          <w:sz w:val="28"/>
          <w:szCs w:val="28"/>
        </w:rPr>
      </w:pPr>
      <w:r w:rsidRPr="00AD01E7">
        <w:rPr>
          <w:sz w:val="28"/>
          <w:szCs w:val="28"/>
        </w:rPr>
        <w:t xml:space="preserve">In order to improve the perception and assimilation of the training materials of the course ‘Psychological Peculiarities of Communication with Litigants with Experience of Psychotraumatic Impact’ and ‘Judge's Socio-Nomic Competence’ in a distance form, for the </w:t>
      </w:r>
      <w:r w:rsidRPr="00AD01E7">
        <w:rPr>
          <w:b/>
          <w:bCs/>
          <w:sz w:val="28"/>
          <w:szCs w:val="28"/>
        </w:rPr>
        <w:t xml:space="preserve">first time </w:t>
      </w:r>
      <w:r w:rsidRPr="00AD01E7">
        <w:rPr>
          <w:sz w:val="28"/>
          <w:szCs w:val="28"/>
        </w:rPr>
        <w:t>, the Department of Scientific and Methodological Support of Judicial Psychological Training recorded video of mini-lectures and posted them on the distance learning platform.</w:t>
      </w:r>
    </w:p>
    <w:p w:rsidR="009E3A96" w:rsidRPr="00AD01E7" w:rsidRDefault="009E3A96" w:rsidP="00AD01E7">
      <w:pPr>
        <w:pStyle w:val="a7"/>
        <w:ind w:firstLine="708"/>
        <w:jc w:val="both"/>
        <w:rPr>
          <w:sz w:val="28"/>
          <w:szCs w:val="28"/>
        </w:rPr>
      </w:pPr>
      <w:r w:rsidRPr="00AD01E7">
        <w:rPr>
          <w:sz w:val="28"/>
          <w:szCs w:val="28"/>
        </w:rPr>
        <w:t xml:space="preserve">Also, for </w:t>
      </w:r>
      <w:r w:rsidRPr="00AD01E7">
        <w:rPr>
          <w:b/>
          <w:bCs/>
          <w:sz w:val="28"/>
          <w:szCs w:val="28"/>
        </w:rPr>
        <w:t>the first time</w:t>
      </w:r>
      <w:r w:rsidRPr="00AD01E7">
        <w:rPr>
          <w:sz w:val="28"/>
          <w:szCs w:val="28"/>
        </w:rPr>
        <w:t>, distance learning courses for judges ‘Judge's Socio-Nomic Competence’ and ‘Psychological Peculiarities of Communication with Litigants with Experience of Psychotraumatic Impact’ were adapted and tested.</w:t>
      </w:r>
    </w:p>
    <w:p w:rsidR="009E3A96" w:rsidRPr="00AD01E7" w:rsidRDefault="009E3A96" w:rsidP="00AD01E7">
      <w:pPr>
        <w:pStyle w:val="a7"/>
        <w:ind w:firstLine="708"/>
        <w:jc w:val="both"/>
        <w:rPr>
          <w:sz w:val="28"/>
          <w:szCs w:val="28"/>
        </w:rPr>
      </w:pPr>
      <w:r w:rsidRPr="00AD01E7">
        <w:rPr>
          <w:b/>
          <w:bCs/>
          <w:sz w:val="28"/>
          <w:szCs w:val="28"/>
        </w:rPr>
        <w:lastRenderedPageBreak/>
        <w:t xml:space="preserve">Employees of </w:t>
      </w:r>
      <w:r w:rsidRPr="00AD01E7">
        <w:rPr>
          <w:sz w:val="28"/>
          <w:szCs w:val="28"/>
        </w:rPr>
        <w:t xml:space="preserve">the Department of Scientific and Methodological Support of Psychological Training of Judges continue to actively work on roundtables and online trainings ‘Building an Effective Team’ for employees of the Court Security Service, in particular, focusing on the topics </w:t>
      </w:r>
      <w:r w:rsidRPr="00AD01E7">
        <w:rPr>
          <w:b/>
          <w:bCs/>
          <w:sz w:val="28"/>
          <w:szCs w:val="28"/>
        </w:rPr>
        <w:t>‘</w:t>
      </w:r>
      <w:r w:rsidRPr="00AD01E7">
        <w:rPr>
          <w:sz w:val="28"/>
          <w:szCs w:val="28"/>
        </w:rPr>
        <w:t xml:space="preserve">Psychological Aspects of Interaction between the Court and the Court Security Service’ and </w:t>
      </w:r>
      <w:r w:rsidRPr="00AD01E7">
        <w:rPr>
          <w:b/>
          <w:bCs/>
          <w:sz w:val="28"/>
          <w:szCs w:val="28"/>
        </w:rPr>
        <w:t>‘</w:t>
      </w:r>
      <w:r w:rsidRPr="00AD01E7">
        <w:rPr>
          <w:sz w:val="28"/>
          <w:szCs w:val="28"/>
        </w:rPr>
        <w:t>Psychological Features of Team Communication’.</w:t>
      </w:r>
    </w:p>
    <w:p w:rsidR="00F90299" w:rsidRPr="00E02193" w:rsidRDefault="00F90299" w:rsidP="00F90299">
      <w:pPr>
        <w:tabs>
          <w:tab w:val="left" w:pos="10065"/>
        </w:tabs>
        <w:spacing w:after="0"/>
        <w:jc w:val="center"/>
        <w:rPr>
          <w:rFonts w:ascii="Times New Roman" w:hAnsi="Times New Roman"/>
          <w:bCs/>
          <w:sz w:val="24"/>
          <w:szCs w:val="24"/>
          <w:lang w:val="uk-UA"/>
        </w:rPr>
      </w:pPr>
      <w:bookmarkStart w:id="0" w:name="_GoBack"/>
      <w:r w:rsidRPr="00E02193">
        <w:rPr>
          <w:rFonts w:ascii="Times New Roman" w:hAnsi="Times New Roman"/>
          <w:b/>
          <w:noProof/>
          <w:sz w:val="28"/>
          <w:szCs w:val="28"/>
          <w:lang w:val="uk-UA" w:eastAsia="uk-UA"/>
        </w:rPr>
        <w:drawing>
          <wp:inline distT="0" distB="0" distL="0" distR="0">
            <wp:extent cx="6105525" cy="4026309"/>
            <wp:effectExtent l="0" t="0" r="9525" b="12700"/>
            <wp:docPr id="2"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bookmarkEnd w:id="0"/>
    </w:p>
    <w:p w:rsidR="00F90299" w:rsidRPr="00E02193" w:rsidRDefault="00F90299" w:rsidP="00F90299">
      <w:pPr>
        <w:tabs>
          <w:tab w:val="left" w:pos="5820"/>
        </w:tabs>
        <w:spacing w:after="0"/>
        <w:ind w:firstLine="709"/>
        <w:jc w:val="both"/>
        <w:rPr>
          <w:rFonts w:ascii="Times New Roman" w:hAnsi="Times New Roman"/>
          <w:sz w:val="28"/>
          <w:szCs w:val="28"/>
          <w:lang w:val="uk-UA"/>
        </w:rPr>
      </w:pPr>
    </w:p>
    <w:p w:rsidR="00826421" w:rsidRDefault="00826421" w:rsidP="00F90299">
      <w:pPr>
        <w:tabs>
          <w:tab w:val="left" w:pos="5820"/>
        </w:tabs>
        <w:spacing w:after="0"/>
        <w:ind w:firstLine="709"/>
        <w:jc w:val="both"/>
        <w:rPr>
          <w:rFonts w:ascii="Times New Roman" w:hAnsi="Times New Roman"/>
          <w:sz w:val="28"/>
          <w:szCs w:val="28"/>
          <w:lang w:val="uk-UA"/>
        </w:rPr>
      </w:pPr>
    </w:p>
    <w:p w:rsidR="00826421" w:rsidRDefault="00826421" w:rsidP="00F90299">
      <w:pPr>
        <w:tabs>
          <w:tab w:val="left" w:pos="5820"/>
        </w:tabs>
        <w:spacing w:after="0"/>
        <w:ind w:firstLine="709"/>
        <w:jc w:val="both"/>
        <w:rPr>
          <w:rFonts w:ascii="Times New Roman" w:hAnsi="Times New Roman"/>
          <w:sz w:val="28"/>
          <w:szCs w:val="28"/>
          <w:lang w:val="uk-UA"/>
        </w:rPr>
      </w:pPr>
    </w:p>
    <w:p w:rsidR="00C35A4B" w:rsidRPr="00474003" w:rsidRDefault="00C35A4B" w:rsidP="00474003">
      <w:pPr>
        <w:pStyle w:val="a7"/>
        <w:jc w:val="both"/>
        <w:rPr>
          <w:sz w:val="28"/>
          <w:szCs w:val="28"/>
        </w:rPr>
      </w:pPr>
      <w:r w:rsidRPr="00C35A4B">
        <w:rPr>
          <w:sz w:val="28"/>
          <w:szCs w:val="28"/>
        </w:rPr>
        <w:t xml:space="preserve">Employees of the Department of Scientific and Methodological Support of Judicial Psychological Training participated as trainers in the </w:t>
      </w:r>
      <w:r w:rsidRPr="00C35A4B">
        <w:rPr>
          <w:b/>
          <w:bCs/>
          <w:sz w:val="28"/>
          <w:szCs w:val="28"/>
        </w:rPr>
        <w:t>development of online trainings</w:t>
      </w:r>
      <w:r w:rsidRPr="00C35A4B">
        <w:rPr>
          <w:sz w:val="28"/>
          <w:szCs w:val="28"/>
        </w:rPr>
        <w:t xml:space="preserve"> and </w:t>
      </w:r>
      <w:r w:rsidRPr="00C35A4B">
        <w:rPr>
          <w:b/>
          <w:bCs/>
          <w:sz w:val="28"/>
          <w:szCs w:val="28"/>
        </w:rPr>
        <w:t>their delivery</w:t>
      </w:r>
      <w:r w:rsidRPr="00C35A4B">
        <w:rPr>
          <w:sz w:val="28"/>
          <w:szCs w:val="28"/>
        </w:rPr>
        <w:t xml:space="preserve">, namely: </w:t>
      </w:r>
      <w:r w:rsidRPr="00C35A4B">
        <w:rPr>
          <w:b/>
          <w:bCs/>
          <w:sz w:val="28"/>
          <w:szCs w:val="28"/>
        </w:rPr>
        <w:t>‘</w:t>
      </w:r>
      <w:r w:rsidRPr="00C35A4B">
        <w:rPr>
          <w:sz w:val="28"/>
          <w:szCs w:val="28"/>
        </w:rPr>
        <w:t xml:space="preserve">Fundamentals of Self-Regulation and its Role in Adaptation to Judicial Activity’, </w:t>
      </w:r>
      <w:r w:rsidRPr="00C35A4B">
        <w:rPr>
          <w:b/>
          <w:bCs/>
          <w:sz w:val="28"/>
          <w:szCs w:val="28"/>
        </w:rPr>
        <w:t>‘</w:t>
      </w:r>
      <w:r w:rsidRPr="00C35A4B">
        <w:rPr>
          <w:sz w:val="28"/>
          <w:szCs w:val="28"/>
        </w:rPr>
        <w:t xml:space="preserve">Dispute Resolution with the Participation of a Judge’, </w:t>
      </w:r>
      <w:r w:rsidRPr="00C35A4B">
        <w:rPr>
          <w:b/>
          <w:bCs/>
          <w:sz w:val="28"/>
          <w:szCs w:val="28"/>
        </w:rPr>
        <w:t>‘</w:t>
      </w:r>
      <w:r w:rsidRPr="00C35A4B">
        <w:rPr>
          <w:sz w:val="28"/>
          <w:szCs w:val="28"/>
        </w:rPr>
        <w:t xml:space="preserve">Courtroom Management’, </w:t>
      </w:r>
      <w:r w:rsidRPr="00C35A4B">
        <w:rPr>
          <w:b/>
          <w:bCs/>
          <w:sz w:val="28"/>
          <w:szCs w:val="28"/>
        </w:rPr>
        <w:t>‘</w:t>
      </w:r>
      <w:r w:rsidRPr="00C35A4B">
        <w:rPr>
          <w:sz w:val="28"/>
          <w:szCs w:val="28"/>
        </w:rPr>
        <w:t xml:space="preserve">Building an Effective Team’, </w:t>
      </w:r>
      <w:r w:rsidRPr="00C35A4B">
        <w:rPr>
          <w:b/>
          <w:bCs/>
          <w:sz w:val="28"/>
          <w:szCs w:val="28"/>
        </w:rPr>
        <w:t>‘</w:t>
      </w:r>
      <w:r w:rsidRPr="00C35A4B">
        <w:rPr>
          <w:sz w:val="28"/>
          <w:szCs w:val="28"/>
        </w:rPr>
        <w:t xml:space="preserve">Psychological Peculiarities of Communication with Litigants with Experience of Psychotraumatic Impact’, </w:t>
      </w:r>
      <w:r w:rsidRPr="00C35A4B">
        <w:rPr>
          <w:b/>
          <w:bCs/>
          <w:sz w:val="28"/>
          <w:szCs w:val="28"/>
        </w:rPr>
        <w:t>‘</w:t>
      </w:r>
      <w:r w:rsidRPr="00C35A4B">
        <w:rPr>
          <w:sz w:val="28"/>
          <w:szCs w:val="28"/>
        </w:rPr>
        <w:t xml:space="preserve">Fundamentals of Effective Communication in the Professional Activity of Court Staff: Key Aspects and Psychological Peculiarities’, </w:t>
      </w:r>
      <w:r w:rsidRPr="00C35A4B">
        <w:rPr>
          <w:b/>
          <w:bCs/>
          <w:sz w:val="28"/>
          <w:szCs w:val="28"/>
        </w:rPr>
        <w:t>‘</w:t>
      </w:r>
      <w:r w:rsidRPr="00C35A4B">
        <w:rPr>
          <w:sz w:val="28"/>
          <w:szCs w:val="28"/>
        </w:rPr>
        <w:t xml:space="preserve">Practical aspects of consideration of criminal proceedings on domestic violence’, </w:t>
      </w:r>
      <w:r w:rsidRPr="00C35A4B">
        <w:rPr>
          <w:b/>
          <w:bCs/>
          <w:sz w:val="28"/>
          <w:szCs w:val="28"/>
        </w:rPr>
        <w:t>‘</w:t>
      </w:r>
      <w:r w:rsidRPr="00C35A4B">
        <w:rPr>
          <w:sz w:val="28"/>
          <w:szCs w:val="28"/>
        </w:rPr>
        <w:t xml:space="preserve">Psychological peculiarities of communication with minors/minor participants in the trial’, </w:t>
      </w:r>
      <w:r w:rsidRPr="00C35A4B">
        <w:rPr>
          <w:b/>
          <w:bCs/>
          <w:sz w:val="28"/>
          <w:szCs w:val="28"/>
        </w:rPr>
        <w:t>‘</w:t>
      </w:r>
      <w:r w:rsidRPr="00C35A4B">
        <w:rPr>
          <w:sz w:val="28"/>
          <w:szCs w:val="28"/>
        </w:rPr>
        <w:t xml:space="preserve">Socio-economic </w:t>
      </w:r>
      <w:r w:rsidRPr="00474003">
        <w:rPr>
          <w:sz w:val="28"/>
          <w:szCs w:val="28"/>
        </w:rPr>
        <w:t>competence of a judge’.</w:t>
      </w:r>
    </w:p>
    <w:p w:rsidR="00474003" w:rsidRPr="00474003" w:rsidRDefault="00474003" w:rsidP="00474003">
      <w:pPr>
        <w:pStyle w:val="a7"/>
        <w:jc w:val="both"/>
        <w:rPr>
          <w:sz w:val="28"/>
          <w:szCs w:val="28"/>
        </w:rPr>
      </w:pPr>
      <w:r w:rsidRPr="00474003">
        <w:rPr>
          <w:sz w:val="28"/>
          <w:szCs w:val="28"/>
        </w:rPr>
        <w:lastRenderedPageBreak/>
        <w:t>Employees of the Department for Scientific and Methodological Support of Psychological Training of Judges conducted testing of suspended judges.</w:t>
      </w:r>
    </w:p>
    <w:p w:rsidR="00F90299" w:rsidRPr="00E02193" w:rsidRDefault="00F90299" w:rsidP="00F90299">
      <w:pPr>
        <w:overflowPunct w:val="0"/>
        <w:autoSpaceDE w:val="0"/>
        <w:autoSpaceDN w:val="0"/>
        <w:adjustRightInd w:val="0"/>
        <w:spacing w:before="120" w:line="276" w:lineRule="auto"/>
        <w:jc w:val="center"/>
        <w:rPr>
          <w:rFonts w:ascii="Times New Roman" w:eastAsia="Calibri" w:hAnsi="Times New Roman" w:cs="Times New Roman"/>
          <w:b/>
          <w:iCs/>
          <w:kern w:val="24"/>
          <w:position w:val="1"/>
          <w:sz w:val="28"/>
          <w:szCs w:val="28"/>
          <w:lang w:val="uk-UA" w:eastAsia="uk-UA"/>
        </w:rPr>
      </w:pPr>
      <w:r w:rsidRPr="00E02193">
        <w:rPr>
          <w:rFonts w:ascii="Times New Roman" w:hAnsi="Times New Roman"/>
          <w:b/>
          <w:noProof/>
          <w:sz w:val="28"/>
          <w:szCs w:val="28"/>
          <w:lang w:val="uk-UA" w:eastAsia="uk-UA"/>
        </w:rPr>
        <w:drawing>
          <wp:inline distT="0" distB="0" distL="0" distR="0">
            <wp:extent cx="5886450" cy="3295650"/>
            <wp:effectExtent l="0" t="0" r="0" b="0"/>
            <wp:docPr id="4"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F90299" w:rsidRPr="00E02193" w:rsidRDefault="00F90299" w:rsidP="00F90299">
      <w:pPr>
        <w:overflowPunct w:val="0"/>
        <w:autoSpaceDE w:val="0"/>
        <w:autoSpaceDN w:val="0"/>
        <w:adjustRightInd w:val="0"/>
        <w:spacing w:before="120" w:line="276" w:lineRule="auto"/>
        <w:jc w:val="center"/>
        <w:rPr>
          <w:rFonts w:ascii="Times New Roman" w:eastAsia="Calibri" w:hAnsi="Times New Roman" w:cs="Times New Roman"/>
          <w:b/>
          <w:iCs/>
          <w:kern w:val="24"/>
          <w:position w:val="1"/>
          <w:sz w:val="28"/>
          <w:szCs w:val="28"/>
          <w:lang w:val="uk-UA" w:eastAsia="uk-UA"/>
        </w:rPr>
      </w:pPr>
    </w:p>
    <w:p w:rsidR="00775A2C" w:rsidRPr="00775A2C" w:rsidRDefault="00775A2C" w:rsidP="00185204">
      <w:pPr>
        <w:pStyle w:val="1"/>
        <w:jc w:val="center"/>
        <w:rPr>
          <w:rFonts w:ascii="Times New Roman" w:hAnsi="Times New Roman" w:cs="Times New Roman"/>
          <w:lang w:val="en-US" w:eastAsia="uk-UA"/>
        </w:rPr>
      </w:pPr>
      <w:r w:rsidRPr="00775A2C">
        <w:rPr>
          <w:rFonts w:ascii="Times New Roman" w:hAnsi="Times New Roman" w:cs="Times New Roman"/>
          <w:lang w:val="en-US"/>
        </w:rPr>
        <w:t>Other scientific and metho</w:t>
      </w:r>
      <w:r>
        <w:rPr>
          <w:rFonts w:ascii="Times New Roman" w:hAnsi="Times New Roman" w:cs="Times New Roman"/>
          <w:lang w:val="en-US"/>
        </w:rPr>
        <w:t>dological activities of the NSJU</w:t>
      </w:r>
    </w:p>
    <w:p w:rsidR="00775A2C" w:rsidRPr="00775A2C" w:rsidRDefault="00775A2C" w:rsidP="00775A2C">
      <w:pPr>
        <w:pStyle w:val="a7"/>
        <w:jc w:val="both"/>
        <w:rPr>
          <w:sz w:val="28"/>
          <w:szCs w:val="28"/>
        </w:rPr>
      </w:pPr>
      <w:r w:rsidRPr="00775A2C">
        <w:rPr>
          <w:b/>
          <w:bCs/>
          <w:sz w:val="28"/>
          <w:szCs w:val="28"/>
        </w:rPr>
        <w:t>Scientific research was conducted</w:t>
      </w:r>
    </w:p>
    <w:p w:rsidR="00775A2C" w:rsidRPr="00775A2C" w:rsidRDefault="00775A2C" w:rsidP="00775A2C">
      <w:pPr>
        <w:pStyle w:val="a7"/>
        <w:jc w:val="both"/>
        <w:rPr>
          <w:sz w:val="28"/>
          <w:szCs w:val="28"/>
        </w:rPr>
      </w:pPr>
      <w:r w:rsidRPr="00775A2C">
        <w:rPr>
          <w:b/>
          <w:bCs/>
          <w:sz w:val="28"/>
          <w:szCs w:val="28"/>
        </w:rPr>
        <w:t>Preparation of information and methodological materials on the application of the Convention for the Protection of Human Rights and Fundamental Freedoms and the case law of the European Court of Human Rights.</w:t>
      </w:r>
    </w:p>
    <w:p w:rsidR="00775A2C" w:rsidRPr="00775A2C" w:rsidRDefault="00775A2C" w:rsidP="00775A2C">
      <w:pPr>
        <w:pStyle w:val="a7"/>
        <w:jc w:val="both"/>
        <w:rPr>
          <w:sz w:val="28"/>
          <w:szCs w:val="28"/>
        </w:rPr>
      </w:pPr>
      <w:r w:rsidRPr="00775A2C">
        <w:rPr>
          <w:sz w:val="28"/>
          <w:szCs w:val="28"/>
        </w:rPr>
        <w:t>The results of the research on the Convention and ECHR case law were used for</w:t>
      </w:r>
    </w:p>
    <w:p w:rsidR="00775A2C" w:rsidRPr="00775A2C" w:rsidRDefault="00775A2C" w:rsidP="00775A2C">
      <w:pPr>
        <w:pStyle w:val="a7"/>
        <w:jc w:val="both"/>
        <w:rPr>
          <w:sz w:val="28"/>
          <w:szCs w:val="28"/>
        </w:rPr>
      </w:pPr>
      <w:r w:rsidRPr="00775A2C">
        <w:rPr>
          <w:sz w:val="28"/>
          <w:szCs w:val="28"/>
        </w:rPr>
        <w:t>- reviewing applications of the Deputy Minister of Justice of Ukraine - Commissioner for the European Court of Human Rights regarding the implementation of ECHR judgments and preparing letters of response to applications;</w:t>
      </w:r>
    </w:p>
    <w:p w:rsidR="00775A2C" w:rsidRPr="00775A2C" w:rsidRDefault="00775A2C" w:rsidP="00775A2C">
      <w:pPr>
        <w:pStyle w:val="a7"/>
        <w:jc w:val="both"/>
        <w:rPr>
          <w:sz w:val="28"/>
          <w:szCs w:val="28"/>
        </w:rPr>
      </w:pPr>
      <w:r w:rsidRPr="00775A2C">
        <w:rPr>
          <w:sz w:val="28"/>
          <w:szCs w:val="28"/>
        </w:rPr>
        <w:t>- preparing proposals for the Standardised Judicial Training Programmes for 2022 to include ECHR case law by jurisdiction and instance;</w:t>
      </w:r>
    </w:p>
    <w:p w:rsidR="00775A2C" w:rsidRPr="00775A2C" w:rsidRDefault="00775A2C" w:rsidP="00775A2C">
      <w:pPr>
        <w:pStyle w:val="a7"/>
        <w:jc w:val="both"/>
        <w:rPr>
          <w:sz w:val="28"/>
          <w:szCs w:val="28"/>
        </w:rPr>
      </w:pPr>
      <w:r w:rsidRPr="00775A2C">
        <w:rPr>
          <w:sz w:val="28"/>
          <w:szCs w:val="28"/>
        </w:rPr>
        <w:t>- preparing analytical reviews of the ECHR case law in accordance with the topics of the National Human Rights Strategy for 2021-2023 - the right to peaceful assembly and the prohibition of human trafficking;</w:t>
      </w:r>
    </w:p>
    <w:p w:rsidR="00775A2C" w:rsidRPr="00775A2C" w:rsidRDefault="00775A2C" w:rsidP="00775A2C">
      <w:pPr>
        <w:pStyle w:val="a7"/>
        <w:jc w:val="both"/>
        <w:rPr>
          <w:sz w:val="28"/>
          <w:szCs w:val="28"/>
        </w:rPr>
      </w:pPr>
      <w:r w:rsidRPr="00775A2C">
        <w:rPr>
          <w:sz w:val="28"/>
          <w:szCs w:val="28"/>
        </w:rPr>
        <w:lastRenderedPageBreak/>
        <w:t>- Preparation of a speech at the round table ‘The Principle of Legal Certainty: Council of Europe Standards and the Case Law of Ukrainian Courts’ (30.06.2021) on the topic: ‘Legitimate Expectations and the Principle of Legal Certainty in the Case Law of the European Court of Human Rights’ (author T. I. Fulei);</w:t>
      </w:r>
    </w:p>
    <w:p w:rsidR="00775A2C" w:rsidRPr="00775A2C" w:rsidRDefault="00775A2C" w:rsidP="00775A2C">
      <w:pPr>
        <w:pStyle w:val="a7"/>
        <w:jc w:val="both"/>
        <w:rPr>
          <w:sz w:val="28"/>
          <w:szCs w:val="28"/>
        </w:rPr>
      </w:pPr>
      <w:r w:rsidRPr="00775A2C">
        <w:rPr>
          <w:sz w:val="28"/>
          <w:szCs w:val="28"/>
        </w:rPr>
        <w:t>- preparation of a scientific report for the scientific and practical conference ‘The court's duty to maintain a fair balance between the rights of the accused and the victim of sexual violence: ECHR standards’ (author T. I. Fulei);</w:t>
      </w:r>
    </w:p>
    <w:p w:rsidR="00775A2C" w:rsidRPr="00775A2C" w:rsidRDefault="00775A2C" w:rsidP="00775A2C">
      <w:pPr>
        <w:pStyle w:val="a7"/>
        <w:jc w:val="both"/>
        <w:rPr>
          <w:sz w:val="28"/>
          <w:szCs w:val="28"/>
        </w:rPr>
      </w:pPr>
      <w:r w:rsidRPr="00775A2C">
        <w:rPr>
          <w:sz w:val="28"/>
          <w:szCs w:val="28"/>
        </w:rPr>
        <w:t>- preparation of a scientific report for the scientific and practical conference ‘Application of criminal law measures against legal entities through the prism of Article 1 of the First Protocol to the Convention’ (author - O. Kuchiv);</w:t>
      </w:r>
    </w:p>
    <w:p w:rsidR="00775A2C" w:rsidRPr="00775A2C" w:rsidRDefault="00775A2C" w:rsidP="00775A2C">
      <w:pPr>
        <w:pStyle w:val="a7"/>
        <w:jc w:val="both"/>
        <w:rPr>
          <w:sz w:val="28"/>
          <w:szCs w:val="28"/>
        </w:rPr>
      </w:pPr>
      <w:r w:rsidRPr="00775A2C">
        <w:rPr>
          <w:sz w:val="28"/>
          <w:szCs w:val="28"/>
        </w:rPr>
        <w:t>- preparation of a scientific report for a speech at the XII International Scientific and Practical Conference dedicated to the 25th anniversary of the Constitution of Ukraine ‘The Constitution is the basis for the development of the state and society’ on the topic ‘The Constitution as a system of coordinates for the administration of justice’ (author T. I. Fulei).</w:t>
      </w:r>
    </w:p>
    <w:p w:rsidR="00775A2C" w:rsidRPr="00775A2C" w:rsidRDefault="00775A2C" w:rsidP="00775A2C">
      <w:pPr>
        <w:pStyle w:val="a7"/>
        <w:jc w:val="both"/>
        <w:rPr>
          <w:sz w:val="28"/>
          <w:szCs w:val="28"/>
        </w:rPr>
      </w:pPr>
      <w:r w:rsidRPr="00775A2C">
        <w:rPr>
          <w:b/>
          <w:bCs/>
          <w:sz w:val="28"/>
          <w:szCs w:val="28"/>
        </w:rPr>
        <w:t>Preparation of informational and methodological materials on the implementation of rights without discrimination on any grounds.</w:t>
      </w:r>
    </w:p>
    <w:p w:rsidR="00775A2C" w:rsidRPr="00775A2C" w:rsidRDefault="00775A2C" w:rsidP="00775A2C">
      <w:pPr>
        <w:pStyle w:val="a7"/>
        <w:jc w:val="both"/>
        <w:rPr>
          <w:sz w:val="28"/>
          <w:szCs w:val="28"/>
        </w:rPr>
      </w:pPr>
      <w:r w:rsidRPr="00775A2C">
        <w:rPr>
          <w:sz w:val="28"/>
          <w:szCs w:val="28"/>
        </w:rPr>
        <w:t>The results of the study were used for:</w:t>
      </w:r>
    </w:p>
    <w:p w:rsidR="00775A2C" w:rsidRPr="00775A2C" w:rsidRDefault="00775A2C" w:rsidP="00775A2C">
      <w:pPr>
        <w:pStyle w:val="a7"/>
        <w:jc w:val="both"/>
        <w:rPr>
          <w:sz w:val="28"/>
          <w:szCs w:val="28"/>
        </w:rPr>
      </w:pPr>
      <w:r w:rsidRPr="00775A2C">
        <w:rPr>
          <w:sz w:val="28"/>
          <w:szCs w:val="28"/>
        </w:rPr>
        <w:t>- preparing information at the request of the High Qualification Commission of Judges of Ukraine to provide information on the status of implementation in 2020 of the National Action Plan for the implementation of the recommendations set out in the concluding observations of the UN Committee on the Elimination of Discrimination against Women to the eighth periodic report of Ukraine on the implementation of the Convention on the Elimination of All Forms of Discrimination against Women for the period up to 2021, approved by the CMU Resolution No. 634-r of 5 September 2018, in particular, the recommendations provided for in paragraphs 6, 13, 18 (February 2021);</w:t>
      </w:r>
    </w:p>
    <w:p w:rsidR="00775A2C" w:rsidRPr="00775A2C" w:rsidRDefault="00775A2C" w:rsidP="00775A2C">
      <w:pPr>
        <w:pStyle w:val="a7"/>
        <w:jc w:val="both"/>
        <w:rPr>
          <w:sz w:val="28"/>
          <w:szCs w:val="28"/>
        </w:rPr>
      </w:pPr>
      <w:r w:rsidRPr="00775A2C">
        <w:rPr>
          <w:sz w:val="28"/>
          <w:szCs w:val="28"/>
        </w:rPr>
        <w:t>- preparation of a speech ‘Prohibition of Discrimination: Standards Developed by the ECHR Case Law’ during the training of HACC judges (26 February 2021);</w:t>
      </w:r>
    </w:p>
    <w:p w:rsidR="00775A2C" w:rsidRPr="00775A2C" w:rsidRDefault="00775A2C" w:rsidP="00775A2C">
      <w:pPr>
        <w:pStyle w:val="a7"/>
        <w:jc w:val="both"/>
        <w:rPr>
          <w:sz w:val="28"/>
          <w:szCs w:val="28"/>
        </w:rPr>
      </w:pPr>
      <w:r w:rsidRPr="00775A2C">
        <w:rPr>
          <w:sz w:val="28"/>
          <w:szCs w:val="28"/>
        </w:rPr>
        <w:t>- preparing an analytical review of the ECHR case law in accordance with the topics of the National Human Rights Strategy for 2021-2023. Participation of Persons with Disabilities in Court Proceedings. Part II (selected ECHR judgments).</w:t>
      </w:r>
    </w:p>
    <w:p w:rsidR="00775A2C" w:rsidRPr="00775A2C" w:rsidRDefault="00775A2C" w:rsidP="00775A2C">
      <w:pPr>
        <w:pStyle w:val="a7"/>
        <w:jc w:val="both"/>
        <w:rPr>
          <w:sz w:val="28"/>
          <w:szCs w:val="28"/>
        </w:rPr>
      </w:pPr>
      <w:r w:rsidRPr="00775A2C">
        <w:rPr>
          <w:b/>
          <w:bCs/>
          <w:sz w:val="28"/>
          <w:szCs w:val="28"/>
        </w:rPr>
        <w:t xml:space="preserve">Preparation of informational and methodological materials on the social context of the judicial process, in particular, ensuring the principle of gender equality in </w:t>
      </w:r>
      <w:r w:rsidRPr="00775A2C">
        <w:rPr>
          <w:b/>
          <w:bCs/>
          <w:sz w:val="28"/>
          <w:szCs w:val="28"/>
        </w:rPr>
        <w:lastRenderedPageBreak/>
        <w:t>the administration of justice and the introduction of gender integration into the judicial system</w:t>
      </w:r>
      <w:r w:rsidRPr="00775A2C">
        <w:rPr>
          <w:sz w:val="28"/>
          <w:szCs w:val="28"/>
        </w:rPr>
        <w:t>.</w:t>
      </w:r>
    </w:p>
    <w:p w:rsidR="00775A2C" w:rsidRPr="00775A2C" w:rsidRDefault="00775A2C" w:rsidP="00775A2C">
      <w:pPr>
        <w:pStyle w:val="a7"/>
        <w:jc w:val="both"/>
        <w:rPr>
          <w:sz w:val="28"/>
          <w:szCs w:val="28"/>
        </w:rPr>
      </w:pPr>
      <w:r w:rsidRPr="00775A2C">
        <w:rPr>
          <w:sz w:val="28"/>
          <w:szCs w:val="28"/>
        </w:rPr>
        <w:t>The results of the study were used for:</w:t>
      </w:r>
    </w:p>
    <w:p w:rsidR="00775A2C" w:rsidRPr="00775A2C" w:rsidRDefault="00775A2C" w:rsidP="00775A2C">
      <w:pPr>
        <w:pStyle w:val="a7"/>
        <w:jc w:val="both"/>
        <w:rPr>
          <w:sz w:val="28"/>
          <w:szCs w:val="28"/>
        </w:rPr>
      </w:pPr>
      <w:r w:rsidRPr="00775A2C">
        <w:rPr>
          <w:sz w:val="28"/>
          <w:szCs w:val="28"/>
        </w:rPr>
        <w:t>- Developing the Gender Sensitivity Index of the Judiciary and participating in an online meeting of representatives of international assistance projects working to strengthen the rule of law on ‘Ensuring Gender Equality in the Judiciary’ (3 March 2021);</w:t>
      </w:r>
    </w:p>
    <w:p w:rsidR="00775A2C" w:rsidRPr="00775A2C" w:rsidRDefault="00775A2C" w:rsidP="00775A2C">
      <w:pPr>
        <w:pStyle w:val="a7"/>
        <w:jc w:val="both"/>
        <w:rPr>
          <w:sz w:val="28"/>
          <w:szCs w:val="28"/>
        </w:rPr>
      </w:pPr>
      <w:r w:rsidRPr="00775A2C">
        <w:rPr>
          <w:sz w:val="28"/>
          <w:szCs w:val="28"/>
        </w:rPr>
        <w:t>- preparing information at the request of the Ministry of Social Policy of Ukraine to provide information for 2020 on the monitoring indicators of the National Action Plan for the Implementation of UN Security Council Resolution 1325 ‘Women, Peace and Security’ for the period up to 2025, approved by the Cabinet of Ministers of Ukraine on 28.10.2020 No. 1544 (April 2021);</w:t>
      </w:r>
    </w:p>
    <w:p w:rsidR="00775A2C" w:rsidRPr="00775A2C" w:rsidRDefault="00775A2C" w:rsidP="00775A2C">
      <w:pPr>
        <w:pStyle w:val="a7"/>
        <w:jc w:val="both"/>
        <w:rPr>
          <w:sz w:val="28"/>
          <w:szCs w:val="28"/>
        </w:rPr>
      </w:pPr>
      <w:r w:rsidRPr="00775A2C">
        <w:rPr>
          <w:sz w:val="28"/>
          <w:szCs w:val="28"/>
        </w:rPr>
        <w:t>- preparing and holding a focus group meeting of judges-gender coordinators to develop a framework of gender competencies of judges (6-7 May 2021) and presenting it at the Third All-Ukrainian Forum of Women Lawyers (18 June 2021);</w:t>
      </w:r>
    </w:p>
    <w:p w:rsidR="00775A2C" w:rsidRPr="00775A2C" w:rsidRDefault="00775A2C" w:rsidP="00775A2C">
      <w:pPr>
        <w:pStyle w:val="a7"/>
        <w:jc w:val="both"/>
        <w:rPr>
          <w:sz w:val="28"/>
          <w:szCs w:val="28"/>
        </w:rPr>
      </w:pPr>
      <w:r w:rsidRPr="00775A2C">
        <w:rPr>
          <w:sz w:val="28"/>
          <w:szCs w:val="28"/>
        </w:rPr>
        <w:t>- preparing for the testing and training for candidates (ToT) of the course for judicial candidates ‘Overcoming Gender Stereotypes in the Administration of Justice’ (clause 7 of the NJCMR Plan);</w:t>
      </w:r>
    </w:p>
    <w:p w:rsidR="00775A2C" w:rsidRPr="00775A2C" w:rsidRDefault="00775A2C" w:rsidP="00775A2C">
      <w:pPr>
        <w:pStyle w:val="a7"/>
        <w:jc w:val="both"/>
        <w:rPr>
          <w:sz w:val="28"/>
          <w:szCs w:val="28"/>
        </w:rPr>
      </w:pPr>
      <w:r w:rsidRPr="00775A2C">
        <w:rPr>
          <w:sz w:val="28"/>
          <w:szCs w:val="28"/>
        </w:rPr>
        <w:t>- preparing to participate and speak at the National Forum ‘National Action Plan for the Implementation of UN Security Council Resolution 1325: Implementation at the National and Local Levels’, group 5 ‘Ensuring Developed Institutional Capacity of 1325 Implementers’, operational objective 5.2 (24-25 May 2021);</w:t>
      </w:r>
    </w:p>
    <w:p w:rsidR="00775A2C" w:rsidRPr="00775A2C" w:rsidRDefault="00775A2C" w:rsidP="00775A2C">
      <w:pPr>
        <w:pStyle w:val="a7"/>
        <w:jc w:val="both"/>
        <w:rPr>
          <w:sz w:val="28"/>
          <w:szCs w:val="28"/>
        </w:rPr>
      </w:pPr>
      <w:r w:rsidRPr="00775A2C">
        <w:rPr>
          <w:sz w:val="28"/>
          <w:szCs w:val="28"/>
        </w:rPr>
        <w:t>- preparing for a workshop on developing methodological recommendations for the implementation of a gender approach in the special training of judicial candidates (28-29 October 2021);</w:t>
      </w:r>
    </w:p>
    <w:p w:rsidR="00775A2C" w:rsidRPr="00775A2C" w:rsidRDefault="00775A2C" w:rsidP="00775A2C">
      <w:pPr>
        <w:pStyle w:val="a7"/>
        <w:jc w:val="both"/>
        <w:rPr>
          <w:sz w:val="28"/>
          <w:szCs w:val="28"/>
        </w:rPr>
      </w:pPr>
      <w:r w:rsidRPr="00775A2C">
        <w:rPr>
          <w:sz w:val="28"/>
          <w:szCs w:val="28"/>
        </w:rPr>
        <w:t>- development of Methodological Recommendations for Implementing a Gender Approach in the Specialised Training of Judicial Candidates;</w:t>
      </w:r>
    </w:p>
    <w:p w:rsidR="00775A2C" w:rsidRPr="00775A2C" w:rsidRDefault="00775A2C" w:rsidP="00775A2C">
      <w:pPr>
        <w:pStyle w:val="a7"/>
        <w:jc w:val="both"/>
        <w:rPr>
          <w:sz w:val="28"/>
          <w:szCs w:val="28"/>
        </w:rPr>
      </w:pPr>
      <w:r w:rsidRPr="00775A2C">
        <w:rPr>
          <w:sz w:val="28"/>
          <w:szCs w:val="28"/>
        </w:rPr>
        <w:t xml:space="preserve">- processing of the questionnaire developed by the Secretariat of the Council of Europe Commission for Gender Equality in the context of six strategic objectives and providing information on the implementation of the Gender Equality Strategy for </w:t>
      </w:r>
    </w:p>
    <w:p w:rsidR="00775A2C" w:rsidRDefault="00775A2C" w:rsidP="00775A2C">
      <w:pPr>
        <w:pStyle w:val="a7"/>
        <w:jc w:val="both"/>
      </w:pPr>
      <w:r w:rsidRPr="00775A2C">
        <w:rPr>
          <w:sz w:val="28"/>
          <w:szCs w:val="28"/>
        </w:rPr>
        <w:t>2018-2023 for the period from November 2020 to October 2021</w:t>
      </w:r>
      <w:r>
        <w:t>.</w:t>
      </w:r>
    </w:p>
    <w:p w:rsidR="00F90299" w:rsidRPr="00E02193" w:rsidRDefault="00F90299" w:rsidP="00F90299">
      <w:pPr>
        <w:widowControl w:val="0"/>
        <w:autoSpaceDE w:val="0"/>
        <w:autoSpaceDN w:val="0"/>
        <w:adjustRightInd w:val="0"/>
        <w:spacing w:after="0"/>
        <w:jc w:val="both"/>
        <w:rPr>
          <w:rFonts w:ascii="Times New Roman" w:hAnsi="Times New Roman" w:cs="Times New Roman"/>
          <w:sz w:val="28"/>
          <w:szCs w:val="28"/>
          <w:lang w:val="uk-UA"/>
        </w:rPr>
      </w:pPr>
    </w:p>
    <w:p w:rsidR="00775A2C" w:rsidRPr="00775A2C" w:rsidRDefault="00775A2C" w:rsidP="00775A2C">
      <w:pPr>
        <w:pStyle w:val="1"/>
        <w:jc w:val="center"/>
        <w:rPr>
          <w:rFonts w:ascii="Times New Roman" w:hAnsi="Times New Roman" w:cs="Times New Roman"/>
          <w:lang w:val="en-US" w:eastAsia="uk-UA"/>
        </w:rPr>
      </w:pPr>
      <w:r w:rsidRPr="00775A2C">
        <w:rPr>
          <w:rFonts w:ascii="Times New Roman" w:hAnsi="Times New Roman" w:cs="Times New Roman"/>
          <w:lang w:val="en-US"/>
        </w:rPr>
        <w:lastRenderedPageBreak/>
        <w:t>Signing of international agreements and memoranda</w:t>
      </w:r>
    </w:p>
    <w:p w:rsidR="00775A2C" w:rsidRPr="00775A2C" w:rsidRDefault="00775A2C" w:rsidP="00775A2C">
      <w:pPr>
        <w:pStyle w:val="a7"/>
        <w:jc w:val="both"/>
        <w:rPr>
          <w:sz w:val="28"/>
          <w:szCs w:val="28"/>
        </w:rPr>
      </w:pPr>
      <w:r w:rsidRPr="00775A2C">
        <w:rPr>
          <w:sz w:val="28"/>
          <w:szCs w:val="28"/>
        </w:rPr>
        <w:t xml:space="preserve">In order to expand partnerships, the National School of Judges signed Memoranda of Cooperation between the National School of Judges of Ukraine and the </w:t>
      </w:r>
      <w:r w:rsidRPr="00775A2C">
        <w:rPr>
          <w:b/>
          <w:bCs/>
          <w:sz w:val="28"/>
          <w:szCs w:val="28"/>
        </w:rPr>
        <w:t>Academy of Justice of the Supreme Court of the Republic of Kazakhstan</w:t>
      </w:r>
      <w:r w:rsidRPr="00775A2C">
        <w:rPr>
          <w:sz w:val="28"/>
          <w:szCs w:val="28"/>
        </w:rPr>
        <w:t xml:space="preserve"> (20.01.2021), </w:t>
      </w:r>
      <w:r w:rsidRPr="00775A2C">
        <w:rPr>
          <w:b/>
          <w:bCs/>
          <w:sz w:val="28"/>
          <w:szCs w:val="28"/>
        </w:rPr>
        <w:t>the State Institution of Postgraduate Education ‘Academy of Financial Monitoring’</w:t>
      </w:r>
      <w:r w:rsidRPr="00775A2C">
        <w:rPr>
          <w:sz w:val="28"/>
          <w:szCs w:val="28"/>
        </w:rPr>
        <w:t xml:space="preserve"> (25.11.2021) and </w:t>
      </w:r>
      <w:r w:rsidRPr="00775A2C">
        <w:rPr>
          <w:b/>
          <w:bCs/>
          <w:sz w:val="28"/>
          <w:szCs w:val="28"/>
        </w:rPr>
        <w:t>the All-Ukrainian NGO ‘Ukrainian Bar Association’</w:t>
      </w:r>
      <w:r w:rsidRPr="00775A2C">
        <w:rPr>
          <w:sz w:val="28"/>
          <w:szCs w:val="28"/>
        </w:rPr>
        <w:t xml:space="preserve"> (15.12.2021).</w:t>
      </w:r>
    </w:p>
    <w:p w:rsidR="0032687F" w:rsidRPr="0032687F" w:rsidRDefault="0032687F" w:rsidP="0032687F">
      <w:pPr>
        <w:pStyle w:val="1"/>
        <w:jc w:val="center"/>
        <w:rPr>
          <w:rFonts w:ascii="Times New Roman" w:hAnsi="Times New Roman" w:cs="Times New Roman"/>
          <w:lang w:val="en-US" w:eastAsia="uk-UA"/>
        </w:rPr>
      </w:pPr>
      <w:r w:rsidRPr="0032687F">
        <w:rPr>
          <w:rFonts w:ascii="Times New Roman" w:hAnsi="Times New Roman" w:cs="Times New Roman"/>
          <w:lang w:val="en-US"/>
        </w:rPr>
        <w:t>Scientific publications</w:t>
      </w:r>
    </w:p>
    <w:p w:rsidR="0032687F" w:rsidRPr="0032687F" w:rsidRDefault="0032687F" w:rsidP="0032687F">
      <w:pPr>
        <w:pStyle w:val="a7"/>
        <w:rPr>
          <w:sz w:val="28"/>
          <w:szCs w:val="28"/>
        </w:rPr>
      </w:pPr>
      <w:r w:rsidRPr="0032687F">
        <w:rPr>
          <w:b/>
          <w:bCs/>
          <w:sz w:val="28"/>
          <w:szCs w:val="28"/>
        </w:rPr>
        <w:t>In 2021, NSSU researchers prepared 33 publications</w:t>
      </w:r>
      <w:r w:rsidRPr="0032687F">
        <w:rPr>
          <w:sz w:val="28"/>
          <w:szCs w:val="28"/>
        </w:rPr>
        <w:t xml:space="preserve"> (scientific a</w:t>
      </w:r>
      <w:r>
        <w:rPr>
          <w:sz w:val="28"/>
          <w:szCs w:val="28"/>
        </w:rPr>
        <w:t>rticles, abstracts, interviews).</w:t>
      </w:r>
    </w:p>
    <w:p w:rsidR="0032687F" w:rsidRPr="0032687F" w:rsidRDefault="0032687F" w:rsidP="0032687F">
      <w:pPr>
        <w:pStyle w:val="2"/>
        <w:jc w:val="center"/>
        <w:rPr>
          <w:rFonts w:ascii="Times New Roman" w:hAnsi="Times New Roman" w:cs="Times New Roman"/>
          <w:sz w:val="28"/>
          <w:szCs w:val="28"/>
          <w:lang w:val="en-US" w:eastAsia="uk-UA"/>
        </w:rPr>
      </w:pPr>
      <w:r w:rsidRPr="0032687F">
        <w:rPr>
          <w:rFonts w:ascii="Times New Roman" w:hAnsi="Times New Roman" w:cs="Times New Roman"/>
          <w:sz w:val="28"/>
          <w:szCs w:val="28"/>
          <w:lang w:val="en-US"/>
        </w:rPr>
        <w:t>SCIENTIFIC ARTICLES</w:t>
      </w:r>
    </w:p>
    <w:p w:rsidR="0032687F" w:rsidRPr="0032687F" w:rsidRDefault="0032687F" w:rsidP="00847DB5">
      <w:pPr>
        <w:pStyle w:val="a7"/>
        <w:numPr>
          <w:ilvl w:val="0"/>
          <w:numId w:val="35"/>
        </w:numPr>
        <w:jc w:val="both"/>
        <w:rPr>
          <w:sz w:val="28"/>
          <w:szCs w:val="28"/>
        </w:rPr>
      </w:pPr>
      <w:r w:rsidRPr="0032687F">
        <w:rPr>
          <w:sz w:val="28"/>
          <w:szCs w:val="28"/>
        </w:rPr>
        <w:t>Onishchuk M. V., Samofal M. M. Recognition of an act as unconstitutional and extraordinary nature of review of a court decision: problems of law enforcement // The rule of law. Issue 32. Kyiv: V. M. Koretsky Institute of State and Law of the National Academy of Sciences of Ukraine, 2021, 648 p. P. 179-190.</w:t>
      </w:r>
    </w:p>
    <w:p w:rsidR="0032687F" w:rsidRPr="0032687F" w:rsidRDefault="0032687F" w:rsidP="00847DB5">
      <w:pPr>
        <w:pStyle w:val="a7"/>
        <w:numPr>
          <w:ilvl w:val="0"/>
          <w:numId w:val="35"/>
        </w:numPr>
        <w:jc w:val="both"/>
        <w:rPr>
          <w:sz w:val="28"/>
          <w:szCs w:val="28"/>
        </w:rPr>
      </w:pPr>
      <w:r w:rsidRPr="0032687F">
        <w:rPr>
          <w:sz w:val="28"/>
          <w:szCs w:val="28"/>
        </w:rPr>
        <w:t>Onishchuk M. V. On the issue of judicial control over the discretion of the subject of authority // Administrative Law and Procedure № 4 (31). С. 67-76.</w:t>
      </w:r>
    </w:p>
    <w:p w:rsidR="0032687F" w:rsidRPr="0032687F" w:rsidRDefault="0032687F" w:rsidP="00847DB5">
      <w:pPr>
        <w:pStyle w:val="a7"/>
        <w:numPr>
          <w:ilvl w:val="0"/>
          <w:numId w:val="35"/>
        </w:numPr>
        <w:jc w:val="both"/>
        <w:rPr>
          <w:sz w:val="28"/>
          <w:szCs w:val="28"/>
        </w:rPr>
      </w:pPr>
      <w:r w:rsidRPr="0032687F">
        <w:rPr>
          <w:sz w:val="28"/>
          <w:szCs w:val="28"/>
        </w:rPr>
        <w:t>Onishchuk M. V. Problematic issues of judicial control over the discretion of the subject of power // Word of the National School of Ukraine. 2021. №2(35). С.6-15.</w:t>
      </w:r>
    </w:p>
    <w:p w:rsidR="0032687F" w:rsidRPr="0032687F" w:rsidRDefault="0032687F" w:rsidP="00847DB5">
      <w:pPr>
        <w:pStyle w:val="a7"/>
        <w:numPr>
          <w:ilvl w:val="0"/>
          <w:numId w:val="35"/>
        </w:numPr>
        <w:jc w:val="both"/>
        <w:rPr>
          <w:sz w:val="28"/>
          <w:szCs w:val="28"/>
        </w:rPr>
      </w:pPr>
      <w:r w:rsidRPr="0032687F">
        <w:rPr>
          <w:sz w:val="28"/>
          <w:szCs w:val="28"/>
        </w:rPr>
        <w:t>Ishchenko O. P. Access to court decisions VS secrecy of pre-trial investigation // Bulletin of the High Qualification Commission of Judges of Ukraine. 2021. № 1-2. С. 26-30.</w:t>
      </w:r>
    </w:p>
    <w:p w:rsidR="0032687F" w:rsidRPr="0032687F" w:rsidRDefault="0032687F" w:rsidP="00847DB5">
      <w:pPr>
        <w:pStyle w:val="a7"/>
        <w:numPr>
          <w:ilvl w:val="0"/>
          <w:numId w:val="35"/>
        </w:numPr>
        <w:jc w:val="both"/>
        <w:rPr>
          <w:sz w:val="28"/>
          <w:szCs w:val="28"/>
        </w:rPr>
      </w:pPr>
      <w:r w:rsidRPr="0032687F">
        <w:rPr>
          <w:sz w:val="28"/>
          <w:szCs w:val="28"/>
        </w:rPr>
        <w:t>Shamrai O. V., Kataeva E. V. Development of the Institute of Judicial Communications in Ukraine // Bulletin of the High Qualification Commission of Judges of Ukraine. 2021. № 1-2. С. 57-61.</w:t>
      </w:r>
    </w:p>
    <w:p w:rsidR="0032687F" w:rsidRPr="0032687F" w:rsidRDefault="0032687F" w:rsidP="00847DB5">
      <w:pPr>
        <w:pStyle w:val="a7"/>
        <w:numPr>
          <w:ilvl w:val="0"/>
          <w:numId w:val="35"/>
        </w:numPr>
        <w:jc w:val="both"/>
        <w:rPr>
          <w:sz w:val="28"/>
          <w:szCs w:val="28"/>
        </w:rPr>
      </w:pPr>
      <w:r w:rsidRPr="0032687F">
        <w:rPr>
          <w:sz w:val="28"/>
          <w:szCs w:val="28"/>
        </w:rPr>
        <w:t>Kuchiv O. M. Restriction of freedom of movement in light of the need in a democratic society: approaches of the ECHR // Word of the National School of Judges of Ukraine. 2021. № 2(35). С. 27-39.</w:t>
      </w:r>
    </w:p>
    <w:p w:rsidR="0032687F" w:rsidRPr="0032687F" w:rsidRDefault="0032687F" w:rsidP="00847DB5">
      <w:pPr>
        <w:pStyle w:val="a7"/>
        <w:numPr>
          <w:ilvl w:val="0"/>
          <w:numId w:val="35"/>
        </w:numPr>
        <w:jc w:val="both"/>
        <w:rPr>
          <w:sz w:val="28"/>
          <w:szCs w:val="28"/>
        </w:rPr>
      </w:pPr>
      <w:r w:rsidRPr="0032687F">
        <w:rPr>
          <w:sz w:val="28"/>
          <w:szCs w:val="28"/>
        </w:rPr>
        <w:t>Polna O. O. Anti-corruption significance of administrative and legal restrictions on the joint work of close persons in the justice system // Word of the National School of Judges of Ukraine. № 2 (35) 2021 С. 63-73.</w:t>
      </w:r>
    </w:p>
    <w:p w:rsidR="0032687F" w:rsidRPr="0032687F" w:rsidRDefault="0032687F" w:rsidP="00847DB5">
      <w:pPr>
        <w:pStyle w:val="a7"/>
        <w:numPr>
          <w:ilvl w:val="0"/>
          <w:numId w:val="35"/>
        </w:numPr>
        <w:jc w:val="both"/>
        <w:rPr>
          <w:sz w:val="28"/>
          <w:szCs w:val="28"/>
        </w:rPr>
      </w:pPr>
      <w:r w:rsidRPr="0032687F">
        <w:rPr>
          <w:sz w:val="28"/>
          <w:szCs w:val="28"/>
        </w:rPr>
        <w:t>Kucheruk N. S. Litigation involving the AMCU: Recent Trends in Court Practice (prepared for the Handbook for Judges ‘Protection of Economic Competition’).</w:t>
      </w:r>
    </w:p>
    <w:p w:rsidR="0032687F" w:rsidRPr="0032687F" w:rsidRDefault="0032687F" w:rsidP="00847DB5">
      <w:pPr>
        <w:pStyle w:val="a7"/>
        <w:numPr>
          <w:ilvl w:val="0"/>
          <w:numId w:val="35"/>
        </w:numPr>
        <w:jc w:val="both"/>
        <w:rPr>
          <w:sz w:val="28"/>
          <w:szCs w:val="28"/>
        </w:rPr>
      </w:pPr>
      <w:r w:rsidRPr="0032687F">
        <w:rPr>
          <w:sz w:val="28"/>
          <w:szCs w:val="28"/>
        </w:rPr>
        <w:t>Lopushynskyi T. A., The role of the State Judicial Administration of Ukraine in the organisational provision of justice. Submitted for publication to the journal ‘Word of the National School of Judges of Ukraine’.</w:t>
      </w:r>
    </w:p>
    <w:p w:rsidR="0032687F" w:rsidRPr="0032687F" w:rsidRDefault="0032687F" w:rsidP="00847DB5">
      <w:pPr>
        <w:pStyle w:val="a7"/>
        <w:numPr>
          <w:ilvl w:val="0"/>
          <w:numId w:val="35"/>
        </w:numPr>
        <w:jc w:val="both"/>
        <w:rPr>
          <w:sz w:val="28"/>
          <w:szCs w:val="28"/>
        </w:rPr>
      </w:pPr>
      <w:r w:rsidRPr="0032687F">
        <w:rPr>
          <w:sz w:val="28"/>
          <w:szCs w:val="28"/>
        </w:rPr>
        <w:lastRenderedPageBreak/>
        <w:t xml:space="preserve">T. I. </w:t>
      </w:r>
      <w:r w:rsidR="0030786F" w:rsidRPr="0032687F">
        <w:rPr>
          <w:sz w:val="28"/>
          <w:szCs w:val="28"/>
        </w:rPr>
        <w:t>Fule</w:t>
      </w:r>
      <w:r w:rsidR="0030786F">
        <w:rPr>
          <w:sz w:val="28"/>
          <w:szCs w:val="28"/>
          <w:lang w:val="en-US"/>
        </w:rPr>
        <w:t>y</w:t>
      </w:r>
      <w:r w:rsidRPr="0032687F">
        <w:rPr>
          <w:sz w:val="28"/>
          <w:szCs w:val="28"/>
        </w:rPr>
        <w:t>, Legitimate expectations: difficulties of translation // Scientific and Practical Economic and Legal Journal ‘Entrepreneurship, Economy and Law’ No. 5. 2021. С. 190-202.</w:t>
      </w:r>
    </w:p>
    <w:p w:rsidR="0032687F" w:rsidRPr="0032687F" w:rsidRDefault="0032687F" w:rsidP="00847DB5">
      <w:pPr>
        <w:pStyle w:val="a7"/>
        <w:numPr>
          <w:ilvl w:val="0"/>
          <w:numId w:val="35"/>
        </w:numPr>
        <w:jc w:val="both"/>
        <w:rPr>
          <w:sz w:val="28"/>
          <w:szCs w:val="28"/>
        </w:rPr>
      </w:pPr>
      <w:r w:rsidRPr="0032687F">
        <w:rPr>
          <w:sz w:val="28"/>
          <w:szCs w:val="28"/>
        </w:rPr>
        <w:t>Fule</w:t>
      </w:r>
      <w:r w:rsidR="0030786F">
        <w:rPr>
          <w:sz w:val="28"/>
          <w:szCs w:val="28"/>
          <w:lang w:val="en-US"/>
        </w:rPr>
        <w:t>y</w:t>
      </w:r>
      <w:r w:rsidRPr="0032687F">
        <w:rPr>
          <w:sz w:val="28"/>
          <w:szCs w:val="28"/>
        </w:rPr>
        <w:t xml:space="preserve"> T. I. ‘Legitimate expectations in the case law of the European Court of Human Rights’ // Pravda Ukrayiny. № 8, 2021, С. 147-167.</w:t>
      </w:r>
    </w:p>
    <w:p w:rsidR="0032687F" w:rsidRPr="0032687F" w:rsidRDefault="0032687F" w:rsidP="00847DB5">
      <w:pPr>
        <w:pStyle w:val="a7"/>
        <w:numPr>
          <w:ilvl w:val="0"/>
          <w:numId w:val="35"/>
        </w:numPr>
        <w:jc w:val="both"/>
        <w:rPr>
          <w:sz w:val="28"/>
          <w:szCs w:val="28"/>
        </w:rPr>
      </w:pPr>
      <w:r w:rsidRPr="0032687F">
        <w:rPr>
          <w:sz w:val="28"/>
          <w:szCs w:val="28"/>
        </w:rPr>
        <w:t>Gender Component in the Special Training Programme for Candidates for the Position of Judge // Word of the National School of Judges of Ukraine. № 3 (36) 2021. С. 41-57.</w:t>
      </w:r>
    </w:p>
    <w:p w:rsidR="0032687F" w:rsidRPr="0032687F" w:rsidRDefault="0032687F" w:rsidP="00847DB5">
      <w:pPr>
        <w:pStyle w:val="a7"/>
        <w:numPr>
          <w:ilvl w:val="0"/>
          <w:numId w:val="35"/>
        </w:numPr>
        <w:jc w:val="both"/>
        <w:rPr>
          <w:sz w:val="28"/>
          <w:szCs w:val="28"/>
        </w:rPr>
      </w:pPr>
      <w:r w:rsidRPr="0032687F">
        <w:rPr>
          <w:sz w:val="28"/>
          <w:szCs w:val="28"/>
        </w:rPr>
        <w:t>Problems of access to justice in Ukraine (based on the analysis of ECHR decisions on applications of elderly women). Submitted for publication.</w:t>
      </w:r>
    </w:p>
    <w:p w:rsidR="0032687F" w:rsidRPr="0032687F" w:rsidRDefault="0032687F" w:rsidP="00847DB5">
      <w:pPr>
        <w:pStyle w:val="a7"/>
        <w:numPr>
          <w:ilvl w:val="0"/>
          <w:numId w:val="35"/>
        </w:numPr>
        <w:jc w:val="both"/>
        <w:rPr>
          <w:sz w:val="28"/>
          <w:szCs w:val="28"/>
        </w:rPr>
      </w:pPr>
      <w:r w:rsidRPr="0032687F">
        <w:rPr>
          <w:sz w:val="28"/>
          <w:szCs w:val="28"/>
        </w:rPr>
        <w:t>Kabysh O. O. ‘New rules for the execution of organisational and administrative documents’. Submitted for publication.</w:t>
      </w:r>
    </w:p>
    <w:p w:rsidR="00F90299" w:rsidRPr="00E02193" w:rsidRDefault="00F90299" w:rsidP="00F90299">
      <w:pPr>
        <w:shd w:val="clear" w:color="auto" w:fill="FFFFFF"/>
        <w:tabs>
          <w:tab w:val="left" w:pos="426"/>
          <w:tab w:val="left" w:pos="1134"/>
        </w:tabs>
        <w:spacing w:before="120"/>
        <w:ind w:firstLine="709"/>
        <w:jc w:val="center"/>
        <w:rPr>
          <w:rFonts w:ascii="Times New Roman" w:hAnsi="Times New Roman" w:cs="Times New Roman"/>
          <w:b/>
          <w:sz w:val="28"/>
          <w:szCs w:val="28"/>
          <w:lang w:val="uk-UA" w:eastAsia="ru-RU"/>
        </w:rPr>
      </w:pPr>
    </w:p>
    <w:p w:rsidR="0030786F" w:rsidRPr="0030786F" w:rsidRDefault="0030786F" w:rsidP="0030786F">
      <w:pPr>
        <w:pStyle w:val="2"/>
        <w:jc w:val="center"/>
        <w:rPr>
          <w:rFonts w:ascii="Times New Roman" w:hAnsi="Times New Roman" w:cs="Times New Roman"/>
          <w:sz w:val="28"/>
          <w:szCs w:val="28"/>
          <w:lang w:eastAsia="uk-UA"/>
        </w:rPr>
      </w:pPr>
      <w:r w:rsidRPr="0030786F">
        <w:rPr>
          <w:rFonts w:ascii="Times New Roman" w:hAnsi="Times New Roman" w:cs="Times New Roman"/>
          <w:sz w:val="28"/>
          <w:szCs w:val="28"/>
        </w:rPr>
        <w:t>ABSTRACTS</w:t>
      </w:r>
    </w:p>
    <w:p w:rsidR="0030786F" w:rsidRPr="0030786F" w:rsidRDefault="0030786F" w:rsidP="00847DB5">
      <w:pPr>
        <w:pStyle w:val="a7"/>
        <w:numPr>
          <w:ilvl w:val="0"/>
          <w:numId w:val="36"/>
        </w:numPr>
        <w:jc w:val="both"/>
        <w:rPr>
          <w:sz w:val="28"/>
          <w:szCs w:val="28"/>
        </w:rPr>
      </w:pPr>
      <w:r w:rsidRPr="0030786F">
        <w:rPr>
          <w:sz w:val="28"/>
          <w:szCs w:val="28"/>
        </w:rPr>
        <w:t>Bohdanevych T. S. International Legal Regulation of the Application of Artificial Intelligence in Law // Topical Issues of Legal Science and Practice Development (Kyiv, 21 May 2021) / edited by Candidate of Law, Associate Professor H. Z. Ogneviuk, Candidate of Law A. V. Aidynian - Kyiv. 2021. VOL. 2. PP. 202-203.</w:t>
      </w:r>
    </w:p>
    <w:p w:rsidR="0030786F" w:rsidRPr="0030786F" w:rsidRDefault="0030786F" w:rsidP="00847DB5">
      <w:pPr>
        <w:pStyle w:val="a7"/>
        <w:numPr>
          <w:ilvl w:val="0"/>
          <w:numId w:val="36"/>
        </w:numPr>
        <w:jc w:val="both"/>
        <w:rPr>
          <w:sz w:val="28"/>
          <w:szCs w:val="28"/>
        </w:rPr>
      </w:pPr>
      <w:r w:rsidRPr="0030786F">
        <w:rPr>
          <w:sz w:val="28"/>
          <w:szCs w:val="28"/>
        </w:rPr>
        <w:t>Some issues of the use of artificial intelligence technologies in the US legal system // The modern dimension of the state and law [Text]: materials of the international scientific and practical conference (Lviv, 14-15 May 2021): Western Ukrainian organisation ‘Centre for Legal Initiatives’, 2021. С. 51-53.</w:t>
      </w:r>
    </w:p>
    <w:p w:rsidR="0030786F" w:rsidRPr="0030786F" w:rsidRDefault="0030786F" w:rsidP="00847DB5">
      <w:pPr>
        <w:pStyle w:val="a7"/>
        <w:numPr>
          <w:ilvl w:val="0"/>
          <w:numId w:val="36"/>
        </w:numPr>
        <w:jc w:val="both"/>
        <w:rPr>
          <w:sz w:val="28"/>
          <w:szCs w:val="28"/>
        </w:rPr>
      </w:pPr>
      <w:r w:rsidRPr="0030786F">
        <w:rPr>
          <w:sz w:val="28"/>
          <w:szCs w:val="28"/>
        </w:rPr>
        <w:t xml:space="preserve">Prospects for the application of artificial intelligence technologies in law and public administration // </w:t>
      </w:r>
      <w:r w:rsidRPr="0030786F">
        <w:rPr>
          <w:rStyle w:val="aa"/>
          <w:sz w:val="28"/>
          <w:szCs w:val="28"/>
        </w:rPr>
        <w:t>Topical issues of legal theory and practice: scientific discussions [Text]: materials of the international scientific and practical conference (Kharkiv, 3-4 December 2021):</w:t>
      </w:r>
      <w:r w:rsidRPr="0030786F">
        <w:rPr>
          <w:sz w:val="28"/>
          <w:szCs w:val="28"/>
        </w:rPr>
        <w:t xml:space="preserve"> ‘</w:t>
      </w:r>
      <w:r w:rsidRPr="0030786F">
        <w:rPr>
          <w:rStyle w:val="af6"/>
          <w:sz w:val="28"/>
          <w:szCs w:val="28"/>
        </w:rPr>
        <w:t>East Ukrainian Scientific Legal Organization</w:t>
      </w:r>
      <w:r w:rsidRPr="0030786F">
        <w:rPr>
          <w:sz w:val="28"/>
          <w:szCs w:val="28"/>
        </w:rPr>
        <w:t>, 2021. С. 44-46.</w:t>
      </w:r>
    </w:p>
    <w:p w:rsidR="0030786F" w:rsidRPr="0030786F" w:rsidRDefault="0030786F" w:rsidP="00847DB5">
      <w:pPr>
        <w:pStyle w:val="a7"/>
        <w:numPr>
          <w:ilvl w:val="0"/>
          <w:numId w:val="36"/>
        </w:numPr>
        <w:jc w:val="both"/>
        <w:rPr>
          <w:sz w:val="28"/>
          <w:szCs w:val="28"/>
        </w:rPr>
      </w:pPr>
      <w:r w:rsidRPr="0030786F">
        <w:rPr>
          <w:sz w:val="28"/>
          <w:szCs w:val="28"/>
        </w:rPr>
        <w:t xml:space="preserve">Artificial Intelligence in Justice: Ukrainian Realities and International Experience // Constitutional Justice: Challenges and Solutions: a collection of abstracts based on the results of the National Forum. of the National Forum (Kyiv, 17 June 2021) / edited by the World Congress of Ukrainian Lawyers </w:t>
      </w:r>
      <w:r w:rsidRPr="0030786F">
        <w:rPr>
          <w:rStyle w:val="aa"/>
          <w:sz w:val="28"/>
          <w:szCs w:val="28"/>
        </w:rPr>
        <w:t xml:space="preserve">- </w:t>
      </w:r>
      <w:r w:rsidRPr="0030786F">
        <w:rPr>
          <w:sz w:val="28"/>
          <w:szCs w:val="28"/>
        </w:rPr>
        <w:t>Kyiv : Lira-K Publishing House, 2021. С. 136-140.</w:t>
      </w:r>
    </w:p>
    <w:p w:rsidR="0030786F" w:rsidRPr="0030786F" w:rsidRDefault="0030786F" w:rsidP="00847DB5">
      <w:pPr>
        <w:pStyle w:val="a7"/>
        <w:numPr>
          <w:ilvl w:val="0"/>
          <w:numId w:val="36"/>
        </w:numPr>
        <w:jc w:val="both"/>
        <w:rPr>
          <w:sz w:val="28"/>
          <w:szCs w:val="28"/>
        </w:rPr>
      </w:pPr>
      <w:r w:rsidRPr="0030786F">
        <w:rPr>
          <w:sz w:val="28"/>
          <w:szCs w:val="28"/>
        </w:rPr>
        <w:t>Ø Kuchiv O. M. Seminar-workshop as a form of training of judges // Current state and prospects of development of legal education in Ukraine in the context of European integration [Text]: materials of the scientific and theoretical conference (Kyiv, 22 April 2021) / [editors: V. Chernei, S. Husarev, S. Cherniavskyi and others] - Kyiv: National Academy of Internal Affairs, 2021. С. 47-50.</w:t>
      </w:r>
    </w:p>
    <w:p w:rsidR="0030786F" w:rsidRPr="0030786F" w:rsidRDefault="0030786F" w:rsidP="00847DB5">
      <w:pPr>
        <w:pStyle w:val="a7"/>
        <w:numPr>
          <w:ilvl w:val="0"/>
          <w:numId w:val="36"/>
        </w:numPr>
        <w:jc w:val="both"/>
        <w:rPr>
          <w:sz w:val="28"/>
          <w:szCs w:val="28"/>
        </w:rPr>
      </w:pPr>
      <w:r w:rsidRPr="0030786F">
        <w:rPr>
          <w:sz w:val="28"/>
          <w:szCs w:val="28"/>
        </w:rPr>
        <w:t xml:space="preserve">Kuchiv O. M. Application of criminal law measures against legal entities through the prism of Article 1 of Protocol 1 to the Convention // Criminal </w:t>
      </w:r>
      <w:r w:rsidRPr="0030786F">
        <w:rPr>
          <w:sz w:val="28"/>
          <w:szCs w:val="28"/>
        </w:rPr>
        <w:lastRenderedPageBreak/>
        <w:t>Procedure: Current Status and Prospects for Development [Text]: materials of the All-Ukrainian Scientific and Practical Conference (Kyiv, 28 May 2021) / [editors: V. Chernei, S. Husarev, S. Cherniavskyi, et al. С. 162-165.</w:t>
      </w:r>
    </w:p>
    <w:p w:rsidR="0030786F" w:rsidRPr="0030786F" w:rsidRDefault="0030786F" w:rsidP="00847DB5">
      <w:pPr>
        <w:pStyle w:val="a7"/>
        <w:numPr>
          <w:ilvl w:val="0"/>
          <w:numId w:val="36"/>
        </w:numPr>
        <w:jc w:val="both"/>
        <w:rPr>
          <w:sz w:val="28"/>
          <w:szCs w:val="28"/>
        </w:rPr>
      </w:pPr>
      <w:r w:rsidRPr="0030786F">
        <w:rPr>
          <w:sz w:val="28"/>
          <w:szCs w:val="28"/>
        </w:rPr>
        <w:t>Implementation of a gender approach in legal education: an example from the experience of developing a course for candidates for the position of judge // Current state and prospects of development of legal education in Ukraine in the context of European integration [Text] : materials of the scientific and theoretical conference (Kyiv, 22 April 2021) / [editors: V. Chernei, S. Husarev, S. Cherniavskyi, et al. С. 90-95.</w:t>
      </w:r>
    </w:p>
    <w:p w:rsidR="0030786F" w:rsidRPr="0030786F" w:rsidRDefault="0030786F" w:rsidP="00847DB5">
      <w:pPr>
        <w:pStyle w:val="a7"/>
        <w:numPr>
          <w:ilvl w:val="0"/>
          <w:numId w:val="36"/>
        </w:numPr>
        <w:jc w:val="both"/>
        <w:rPr>
          <w:sz w:val="28"/>
          <w:szCs w:val="28"/>
        </w:rPr>
      </w:pPr>
      <w:r w:rsidRPr="0030786F">
        <w:rPr>
          <w:sz w:val="28"/>
          <w:szCs w:val="28"/>
        </w:rPr>
        <w:t>Fulei T. I. Duty of the court to maintain a fair balance between the rights of the accused and the victim of sexual violence: ECHR standards // Criminal proceedings: current state and prospects for development [Text] : materials of the All-Ukrainian scientific and and Practical Conf. (Kyiv, 28 May 2021) / [editors: V. Chernei, S. Husarev, S. Cherniavskyi, et al. С. 261-265.</w:t>
      </w:r>
    </w:p>
    <w:p w:rsidR="0030786F" w:rsidRPr="0030786F" w:rsidRDefault="0030786F" w:rsidP="00847DB5">
      <w:pPr>
        <w:pStyle w:val="a7"/>
        <w:numPr>
          <w:ilvl w:val="0"/>
          <w:numId w:val="36"/>
        </w:numPr>
        <w:jc w:val="both"/>
        <w:rPr>
          <w:sz w:val="28"/>
          <w:szCs w:val="28"/>
        </w:rPr>
      </w:pPr>
      <w:r w:rsidRPr="0030786F">
        <w:rPr>
          <w:sz w:val="28"/>
          <w:szCs w:val="28"/>
        </w:rPr>
        <w:t>Kucheruk N. S. ‘Electronic evidence in the economic process’. Problems and the state of observance and protection of human rights in Ukraine: materials of the international scientific and practical conference, Lviv, 20 - 21 August 2021 - Lviv: Western Ukrainian organisation ‘Centre for Legal Initiatives’, 2021, - 92 p., - pp. 35-39.</w:t>
      </w:r>
    </w:p>
    <w:p w:rsidR="0030786F" w:rsidRPr="0030786F" w:rsidRDefault="0030786F" w:rsidP="00847DB5">
      <w:pPr>
        <w:pStyle w:val="a7"/>
        <w:numPr>
          <w:ilvl w:val="0"/>
          <w:numId w:val="36"/>
        </w:numPr>
        <w:jc w:val="both"/>
        <w:rPr>
          <w:sz w:val="28"/>
          <w:szCs w:val="28"/>
        </w:rPr>
      </w:pPr>
      <w:r w:rsidRPr="0030786F">
        <w:rPr>
          <w:sz w:val="28"/>
          <w:szCs w:val="28"/>
        </w:rPr>
        <w:t>T. I. Fulei, ‘Legitimate Expectations and the Principle of Legal Certainty in the Case Law of the European Court of Human Rights’, abstracts of the round table ‘The Principle of Legal Certainty: Council of Europe Standards and the Case Law of Ukrainian Courts’.</w:t>
      </w:r>
    </w:p>
    <w:p w:rsidR="0030786F" w:rsidRPr="0030786F" w:rsidRDefault="0030786F" w:rsidP="00847DB5">
      <w:pPr>
        <w:pStyle w:val="a7"/>
        <w:numPr>
          <w:ilvl w:val="0"/>
          <w:numId w:val="36"/>
        </w:numPr>
        <w:jc w:val="both"/>
        <w:rPr>
          <w:sz w:val="28"/>
          <w:szCs w:val="28"/>
        </w:rPr>
      </w:pPr>
      <w:r w:rsidRPr="0030786F">
        <w:rPr>
          <w:sz w:val="28"/>
          <w:szCs w:val="28"/>
        </w:rPr>
        <w:t>Yavorska O. O. ‘Declaring a deliberately unfounded challenge to a judge as a way to abuse procedural rights’ The place of legal sciences in the formation of the legal culture of modern man: materials of the international scientific and practical conference, Zaporizhzhia, 24-25 December 2021 - Zaporizhzhia: Zaporizhzhia City Organisation ‘Istyna’, 2021.</w:t>
      </w:r>
    </w:p>
    <w:p w:rsidR="00F90299" w:rsidRPr="00E02193" w:rsidRDefault="00F90299" w:rsidP="00F90299">
      <w:pPr>
        <w:widowControl w:val="0"/>
        <w:shd w:val="clear" w:color="auto" w:fill="FFFFFF"/>
        <w:tabs>
          <w:tab w:val="left" w:pos="1134"/>
        </w:tabs>
        <w:autoSpaceDE w:val="0"/>
        <w:autoSpaceDN w:val="0"/>
        <w:adjustRightInd w:val="0"/>
        <w:spacing w:after="0"/>
        <w:ind w:left="426"/>
        <w:contextualSpacing/>
        <w:jc w:val="both"/>
        <w:rPr>
          <w:rFonts w:ascii="Times New Roman" w:eastAsia="Calibri" w:hAnsi="Times New Roman" w:cs="Times New Roman"/>
          <w:sz w:val="28"/>
          <w:szCs w:val="28"/>
          <w:lang w:val="uk-UA"/>
        </w:rPr>
      </w:pPr>
    </w:p>
    <w:p w:rsidR="0030786F" w:rsidRPr="0030786F" w:rsidRDefault="0030786F" w:rsidP="0030786F">
      <w:pPr>
        <w:pStyle w:val="2"/>
        <w:jc w:val="center"/>
        <w:rPr>
          <w:rFonts w:ascii="Times New Roman" w:hAnsi="Times New Roman" w:cs="Times New Roman"/>
          <w:sz w:val="28"/>
          <w:szCs w:val="28"/>
          <w:lang w:eastAsia="uk-UA"/>
        </w:rPr>
      </w:pPr>
      <w:r w:rsidRPr="0030786F">
        <w:rPr>
          <w:rFonts w:ascii="Times New Roman" w:hAnsi="Times New Roman" w:cs="Times New Roman"/>
          <w:sz w:val="28"/>
          <w:szCs w:val="28"/>
        </w:rPr>
        <w:t>INTERVIEWS</w:t>
      </w:r>
    </w:p>
    <w:p w:rsidR="0030786F" w:rsidRPr="0030786F" w:rsidRDefault="0030786F" w:rsidP="00847DB5">
      <w:pPr>
        <w:pStyle w:val="a7"/>
        <w:numPr>
          <w:ilvl w:val="0"/>
          <w:numId w:val="37"/>
        </w:numPr>
        <w:jc w:val="both"/>
        <w:rPr>
          <w:sz w:val="28"/>
          <w:szCs w:val="28"/>
        </w:rPr>
      </w:pPr>
      <w:r w:rsidRPr="0030786F">
        <w:rPr>
          <w:sz w:val="28"/>
          <w:szCs w:val="28"/>
        </w:rPr>
        <w:t>Onishchuk M. Constitutional Justice: Current Challenges and Ways to Address Them // The Legal Bulletin of Ukraine. 18.06-24.06.2021. № 24. С. 6-7.</w:t>
      </w:r>
    </w:p>
    <w:p w:rsidR="0030786F" w:rsidRPr="0030786F" w:rsidRDefault="0030786F" w:rsidP="00847DB5">
      <w:pPr>
        <w:pStyle w:val="a7"/>
        <w:numPr>
          <w:ilvl w:val="0"/>
          <w:numId w:val="37"/>
        </w:numPr>
        <w:jc w:val="both"/>
        <w:rPr>
          <w:sz w:val="28"/>
          <w:szCs w:val="28"/>
        </w:rPr>
      </w:pPr>
      <w:r w:rsidRPr="0030786F">
        <w:rPr>
          <w:sz w:val="28"/>
          <w:szCs w:val="28"/>
        </w:rPr>
        <w:t>Onishchuk M. Staff shortage is a factor that directly affects access to justice / Yurydychna Praktyka (website, Facebook). - 15.06.2021. (https://pravo.ua/ix-mizhnarodnyi-sudovo-pravovyi-forum-kadrovyi-defitsyt-ie-faktorom-shcho-bezposeredno-vplyvaie-na-dostup-do-pravosuddia/).</w:t>
      </w:r>
    </w:p>
    <w:p w:rsidR="0030786F" w:rsidRPr="0030786F" w:rsidRDefault="0030786F" w:rsidP="00847DB5">
      <w:pPr>
        <w:pStyle w:val="a7"/>
        <w:numPr>
          <w:ilvl w:val="0"/>
          <w:numId w:val="37"/>
        </w:numPr>
        <w:jc w:val="both"/>
        <w:rPr>
          <w:sz w:val="28"/>
          <w:szCs w:val="28"/>
        </w:rPr>
      </w:pPr>
      <w:r w:rsidRPr="0030786F">
        <w:rPr>
          <w:sz w:val="28"/>
          <w:szCs w:val="28"/>
        </w:rPr>
        <w:t>Onishchuk M. Administrative jurisdiction is a guardian of the rule of law / Yuridicheskaya Praktika (website, Facebook). - 16.06.2021. (https://pravo.ua/administratyvna-iurysdyktsiia-ie-vartovoiu-verkhovenstva-prava-perekonani-uchasnyky-ix-mizhnarodnoho-sudovo-pravovoho-forumu/).</w:t>
      </w:r>
    </w:p>
    <w:p w:rsidR="0030786F" w:rsidRPr="0030786F" w:rsidRDefault="0030786F" w:rsidP="00847DB5">
      <w:pPr>
        <w:pStyle w:val="a7"/>
        <w:numPr>
          <w:ilvl w:val="0"/>
          <w:numId w:val="37"/>
        </w:numPr>
        <w:jc w:val="both"/>
        <w:rPr>
          <w:sz w:val="28"/>
          <w:szCs w:val="28"/>
        </w:rPr>
      </w:pPr>
      <w:r w:rsidRPr="0030786F">
        <w:rPr>
          <w:sz w:val="28"/>
          <w:szCs w:val="28"/>
        </w:rPr>
        <w:lastRenderedPageBreak/>
        <w:t>Onishchuk M. The role of the CCU is growing in the implementation of the tasks set by the President / Yurydychna Praktyka (website, Facebook). - 17.06.2021. (https://pravo.ua/pry-realizatsii-zavdan-vyznachenykh-prezydentom-zrostaie-rol-ksu-perekonani-uchasnyky-forumu-konstytutsiina-iustytsiia-vyklyky-sohodennia-ta-shliakhy-vyrishennia/).</w:t>
      </w:r>
    </w:p>
    <w:p w:rsidR="0030786F" w:rsidRPr="0030786F" w:rsidRDefault="0030786F" w:rsidP="00847DB5">
      <w:pPr>
        <w:pStyle w:val="a7"/>
        <w:numPr>
          <w:ilvl w:val="0"/>
          <w:numId w:val="37"/>
        </w:numPr>
        <w:jc w:val="both"/>
        <w:rPr>
          <w:sz w:val="28"/>
          <w:szCs w:val="28"/>
        </w:rPr>
      </w:pPr>
      <w:r w:rsidRPr="0030786F">
        <w:rPr>
          <w:sz w:val="28"/>
          <w:szCs w:val="28"/>
        </w:rPr>
        <w:t>Onishchuk M. Constitutional Justice: What Direction of Development Has Ukraine Chosen / Yurydychna Gazeta (website, Facebook). - 18.06.2021.</w:t>
      </w:r>
      <w:hyperlink r:id="rId40" w:history="1">
        <w:r w:rsidRPr="0030786F">
          <w:rPr>
            <w:rStyle w:val="af0"/>
            <w:sz w:val="28"/>
            <w:szCs w:val="28"/>
          </w:rPr>
          <w:t>(https://yur-gazeta.com/golovna/konstituciyna-yusticiya-yakiy-napryamok-rozvitku-obrala-ukrayina-.html)</w:t>
        </w:r>
      </w:hyperlink>
      <w:r w:rsidRPr="0030786F">
        <w:rPr>
          <w:sz w:val="28"/>
          <w:szCs w:val="28"/>
        </w:rPr>
        <w:t>.</w:t>
      </w:r>
    </w:p>
    <w:p w:rsidR="0030786F" w:rsidRPr="0030786F" w:rsidRDefault="0030786F" w:rsidP="00847DB5">
      <w:pPr>
        <w:pStyle w:val="a7"/>
        <w:numPr>
          <w:ilvl w:val="0"/>
          <w:numId w:val="37"/>
        </w:numPr>
        <w:jc w:val="both"/>
        <w:rPr>
          <w:sz w:val="28"/>
          <w:szCs w:val="28"/>
        </w:rPr>
      </w:pPr>
      <w:r w:rsidRPr="0030786F">
        <w:rPr>
          <w:sz w:val="28"/>
          <w:szCs w:val="28"/>
        </w:rPr>
        <w:t>Mazurok V. ‘Security and order in the courts...’ // Yurydychnyi Herald of Ukraine. 22.01-04.02.2021. № 3-4. С. 6.</w:t>
      </w:r>
    </w:p>
    <w:p w:rsidR="0030786F" w:rsidRPr="0030786F" w:rsidRDefault="0030786F" w:rsidP="00847DB5">
      <w:pPr>
        <w:pStyle w:val="a7"/>
        <w:numPr>
          <w:ilvl w:val="0"/>
          <w:numId w:val="37"/>
        </w:numPr>
        <w:jc w:val="both"/>
        <w:rPr>
          <w:sz w:val="28"/>
          <w:szCs w:val="28"/>
        </w:rPr>
      </w:pPr>
      <w:r w:rsidRPr="0030786F">
        <w:rPr>
          <w:sz w:val="28"/>
          <w:szCs w:val="28"/>
        </w:rPr>
        <w:t>Mazurok V. ‘Security and Order in the Courts...’ // Yurydychnyi Visnyk Ukrayiny (website, Facebook). - 29.01.2021. (https://yvu.com.ua/bezpeka-i-poryadok-u-sudah/).</w:t>
      </w:r>
    </w:p>
    <w:p w:rsidR="0030786F" w:rsidRPr="0030786F" w:rsidRDefault="0030786F" w:rsidP="00847DB5">
      <w:pPr>
        <w:pStyle w:val="a7"/>
        <w:numPr>
          <w:ilvl w:val="0"/>
          <w:numId w:val="37"/>
        </w:numPr>
        <w:jc w:val="both"/>
        <w:rPr>
          <w:sz w:val="28"/>
          <w:szCs w:val="28"/>
        </w:rPr>
      </w:pPr>
      <w:r w:rsidRPr="0030786F">
        <w:rPr>
          <w:sz w:val="28"/>
          <w:szCs w:val="28"/>
        </w:rPr>
        <w:t>Security of judges and court visitors: best European practices (Mazurok) // Yurydychnyi Herald of Ukraine. 25.06-01.07.2021. № 25. С. 2-3.</w:t>
      </w:r>
    </w:p>
    <w:p w:rsidR="00363AF7" w:rsidRDefault="00363AF7" w:rsidP="00DF6D73">
      <w:pPr>
        <w:pStyle w:val="1"/>
        <w:ind w:left="6024"/>
        <w:rPr>
          <w:rFonts w:ascii="Times New Roman" w:hAnsi="Times New Roman" w:cs="Times New Roman"/>
          <w:color w:val="auto"/>
          <w:lang w:val="uk-UA" w:eastAsia="ru-RU"/>
        </w:rPr>
      </w:pPr>
    </w:p>
    <w:p w:rsidR="00363AF7" w:rsidRPr="00363AF7" w:rsidRDefault="00363AF7" w:rsidP="00363AF7">
      <w:pPr>
        <w:pStyle w:val="1"/>
        <w:jc w:val="center"/>
        <w:rPr>
          <w:rFonts w:ascii="Times New Roman" w:hAnsi="Times New Roman" w:cs="Times New Roman"/>
          <w:lang w:eastAsia="uk-UA"/>
        </w:rPr>
      </w:pPr>
      <w:r w:rsidRPr="00363AF7">
        <w:rPr>
          <w:rFonts w:ascii="Times New Roman" w:hAnsi="Times New Roman" w:cs="Times New Roman"/>
        </w:rPr>
        <w:t>Journal of the institution</w:t>
      </w:r>
    </w:p>
    <w:p w:rsidR="00363AF7" w:rsidRPr="00363AF7" w:rsidRDefault="00363AF7" w:rsidP="00363AF7">
      <w:pPr>
        <w:pStyle w:val="a7"/>
        <w:ind w:firstLine="708"/>
        <w:jc w:val="both"/>
        <w:rPr>
          <w:sz w:val="28"/>
          <w:szCs w:val="28"/>
        </w:rPr>
      </w:pPr>
      <w:r w:rsidRPr="00363AF7">
        <w:rPr>
          <w:sz w:val="28"/>
          <w:szCs w:val="28"/>
        </w:rPr>
        <w:t xml:space="preserve">In 2021 </w:t>
      </w:r>
      <w:r w:rsidRPr="00363AF7">
        <w:rPr>
          <w:b/>
          <w:bCs/>
          <w:sz w:val="28"/>
          <w:szCs w:val="28"/>
        </w:rPr>
        <w:t>, 4 issues (Nos. 4 (33) 2020, 1 (34) 2021, 2 (35) 2021, 3 (36) 2021) of</w:t>
      </w:r>
      <w:r w:rsidRPr="00363AF7">
        <w:rPr>
          <w:sz w:val="28"/>
          <w:szCs w:val="28"/>
        </w:rPr>
        <w:t xml:space="preserve"> the national scientific, practical and methodological legal </w:t>
      </w:r>
      <w:r w:rsidRPr="00363AF7">
        <w:rPr>
          <w:b/>
          <w:bCs/>
          <w:sz w:val="28"/>
          <w:szCs w:val="28"/>
        </w:rPr>
        <w:t>journal ‘Slovo of the National School of Judges of Ukraine’</w:t>
      </w:r>
      <w:r w:rsidRPr="00363AF7">
        <w:rPr>
          <w:sz w:val="28"/>
          <w:szCs w:val="28"/>
        </w:rPr>
        <w:t xml:space="preserve"> were published in accordance with the new requirements of the Procedure for Forming the List of Scientific Professional Publications of Ukraine, approved by Order of the Ministry of Education and Science of Ukraine No. 32 dated 15 January 2018, registered with the Ministry of Justice of Ukraine on 6 February 2018 under No. 148/21600).</w:t>
      </w:r>
    </w:p>
    <w:p w:rsidR="00363AF7" w:rsidRPr="00363AF7" w:rsidRDefault="00363AF7" w:rsidP="00363AF7">
      <w:pPr>
        <w:pStyle w:val="a7"/>
        <w:ind w:firstLine="708"/>
        <w:jc w:val="both"/>
        <w:rPr>
          <w:sz w:val="28"/>
          <w:szCs w:val="28"/>
        </w:rPr>
      </w:pPr>
      <w:r w:rsidRPr="00363AF7">
        <w:rPr>
          <w:sz w:val="28"/>
          <w:szCs w:val="28"/>
        </w:rPr>
        <w:t>The NSJU, in cooperation with the Council of Europe project ‘Further Support to Ukraine's Implementation of Decisions in the Context of Article 6 of the European Convention on Human Rights’, prepared and published a special issue of the journal ‘Word of the National School of Judges of Ukraine’, which published the reports delivered at the online conference ‘Ensuring Unity of Case Law: Legal Positions of the Grand Chamber of the Supreme Court and Standards of the Council of Europe’, held on the occasion of the third anniversary of the Supreme Court, and during plenary and thematic sessions and webinars of the 5-day training programme for judges of the Supreme Court.</w:t>
      </w:r>
    </w:p>
    <w:p w:rsidR="00363AF7" w:rsidRPr="00363AF7" w:rsidRDefault="00363AF7" w:rsidP="00363AF7">
      <w:pPr>
        <w:pStyle w:val="a7"/>
        <w:ind w:firstLine="708"/>
        <w:jc w:val="both"/>
        <w:rPr>
          <w:sz w:val="28"/>
          <w:szCs w:val="28"/>
        </w:rPr>
      </w:pPr>
      <w:r w:rsidRPr="00363AF7">
        <w:rPr>
          <w:sz w:val="28"/>
          <w:szCs w:val="28"/>
        </w:rPr>
        <w:t xml:space="preserve">Work is underway on the next issue of the journal </w:t>
      </w:r>
      <w:r w:rsidRPr="00363AF7">
        <w:rPr>
          <w:b/>
          <w:bCs/>
          <w:sz w:val="28"/>
          <w:szCs w:val="28"/>
        </w:rPr>
        <w:t>No. 4 (37) 2021</w:t>
      </w:r>
      <w:r w:rsidRPr="00363AF7">
        <w:rPr>
          <w:sz w:val="28"/>
          <w:szCs w:val="28"/>
        </w:rPr>
        <w:t xml:space="preserve">, as well as </w:t>
      </w:r>
      <w:r w:rsidRPr="00363AF7">
        <w:rPr>
          <w:b/>
          <w:bCs/>
          <w:sz w:val="28"/>
          <w:szCs w:val="28"/>
        </w:rPr>
        <w:t>a special issue</w:t>
      </w:r>
      <w:r w:rsidRPr="00363AF7">
        <w:rPr>
          <w:sz w:val="28"/>
          <w:szCs w:val="28"/>
        </w:rPr>
        <w:t xml:space="preserve"> with the materials of the roundtable discussion ‘The Principle of Legal Certainty: Council of Europe Standards and the Practice of Ukrainian Courts’, </w:t>
      </w:r>
      <w:r w:rsidRPr="00363AF7">
        <w:rPr>
          <w:sz w:val="28"/>
          <w:szCs w:val="28"/>
        </w:rPr>
        <w:lastRenderedPageBreak/>
        <w:t>organised jointly by the Supreme Court, the National School of Judges and the Council of Europe project ‘Support to the Judiciary of Ukraine in Ensuring Better Access to Justice’.</w:t>
      </w:r>
    </w:p>
    <w:p w:rsidR="00363AF7" w:rsidRPr="00363AF7" w:rsidRDefault="00363AF7" w:rsidP="00363AF7">
      <w:pPr>
        <w:pStyle w:val="a7"/>
        <w:jc w:val="both"/>
        <w:rPr>
          <w:sz w:val="28"/>
          <w:szCs w:val="28"/>
        </w:rPr>
      </w:pPr>
      <w:r w:rsidRPr="00363AF7">
        <w:rPr>
          <w:sz w:val="28"/>
          <w:szCs w:val="28"/>
        </w:rPr>
        <w:t xml:space="preserve">The electronic versions of the journal are available on the publication's website. The full content of these copies of the journal is available on its official website - </w:t>
      </w:r>
      <w:hyperlink r:id="rId41" w:history="1">
        <w:r w:rsidRPr="00363AF7">
          <w:rPr>
            <w:rStyle w:val="af0"/>
            <w:sz w:val="28"/>
            <w:szCs w:val="28"/>
          </w:rPr>
          <w:t>http://slovo.nsj.gov.ua</w:t>
        </w:r>
      </w:hyperlink>
      <w:r w:rsidRPr="00363AF7">
        <w:rPr>
          <w:sz w:val="28"/>
          <w:szCs w:val="28"/>
        </w:rPr>
        <w:t>.</w:t>
      </w:r>
    </w:p>
    <w:p w:rsidR="00363AF7" w:rsidRPr="00363AF7" w:rsidRDefault="00363AF7" w:rsidP="00363AF7">
      <w:pPr>
        <w:pStyle w:val="a7"/>
        <w:jc w:val="both"/>
        <w:rPr>
          <w:sz w:val="28"/>
          <w:szCs w:val="28"/>
        </w:rPr>
      </w:pPr>
      <w:r w:rsidRPr="00363AF7">
        <w:rPr>
          <w:sz w:val="28"/>
          <w:szCs w:val="28"/>
        </w:rPr>
        <w:t xml:space="preserve">In order to improve the professional level of the journal, the updated </w:t>
      </w:r>
      <w:r w:rsidRPr="00363AF7">
        <w:rPr>
          <w:b/>
          <w:bCs/>
          <w:sz w:val="28"/>
          <w:szCs w:val="28"/>
        </w:rPr>
        <w:t>Concept of the professional national scientific, practical and methodological legal publication ‘Slovo of the National School of Judges of Ukraine’</w:t>
      </w:r>
      <w:r w:rsidRPr="00363AF7">
        <w:rPr>
          <w:sz w:val="28"/>
          <w:szCs w:val="28"/>
        </w:rPr>
        <w:t xml:space="preserve"> was prepared and approved.</w:t>
      </w:r>
    </w:p>
    <w:p w:rsidR="00363AF7" w:rsidRPr="00363AF7" w:rsidRDefault="00363AF7" w:rsidP="00363AF7">
      <w:pPr>
        <w:pStyle w:val="1"/>
        <w:jc w:val="center"/>
        <w:rPr>
          <w:rFonts w:ascii="Times New Roman" w:hAnsi="Times New Roman" w:cs="Times New Roman"/>
          <w:sz w:val="48"/>
          <w:szCs w:val="48"/>
          <w:lang w:val="en-US" w:eastAsia="uk-UA"/>
        </w:rPr>
      </w:pPr>
      <w:r w:rsidRPr="00363AF7">
        <w:rPr>
          <w:rFonts w:ascii="Times New Roman" w:hAnsi="Times New Roman" w:cs="Times New Roman"/>
          <w:lang w:val="en-US"/>
        </w:rPr>
        <w:t>Supporting the activities of advisory bodies, commissions and working groups</w:t>
      </w:r>
    </w:p>
    <w:p w:rsidR="00F90299" w:rsidRPr="00E02193" w:rsidRDefault="00F90299" w:rsidP="00363AF7">
      <w:pPr>
        <w:pStyle w:val="a7"/>
        <w:jc w:val="both"/>
        <w:rPr>
          <w:rFonts w:eastAsia="Calibri"/>
          <w:spacing w:val="-2"/>
          <w:kern w:val="24"/>
          <w:position w:val="1"/>
          <w:sz w:val="28"/>
          <w:szCs w:val="28"/>
          <w:lang w:eastAsia="ru-RU"/>
        </w:rPr>
      </w:pPr>
      <w:r w:rsidRPr="00363AF7">
        <w:rPr>
          <w:noProof/>
          <w:sz w:val="28"/>
          <w:szCs w:val="28"/>
        </w:rPr>
        <w:drawing>
          <wp:anchor distT="0" distB="0" distL="114300" distR="114300" simplePos="0" relativeHeight="251698176" behindDoc="1" locked="0" layoutInCell="1" allowOverlap="1">
            <wp:simplePos x="0" y="0"/>
            <wp:positionH relativeFrom="margin">
              <wp:posOffset>-50104</wp:posOffset>
            </wp:positionH>
            <wp:positionV relativeFrom="paragraph">
              <wp:posOffset>888626</wp:posOffset>
            </wp:positionV>
            <wp:extent cx="3551555" cy="1790700"/>
            <wp:effectExtent l="0" t="0" r="0" b="0"/>
            <wp:wrapTight wrapText="bothSides">
              <wp:wrapPolygon edited="0">
                <wp:start x="0" y="0"/>
                <wp:lineTo x="0" y="21370"/>
                <wp:lineTo x="21434" y="21370"/>
                <wp:lineTo x="21434" y="0"/>
                <wp:lineTo x="0" y="0"/>
              </wp:wrapPolygon>
            </wp:wrapTight>
            <wp:docPr id="9" name="Рисунок 9" descr="C:\Users\shamraiov\Desktop\n14.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amraiov\Desktop\n14.jfif"/>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1106" t="16471" r="-1106"/>
                    <a:stretch/>
                  </pic:blipFill>
                  <pic:spPr bwMode="auto">
                    <a:xfrm>
                      <a:off x="0" y="0"/>
                      <a:ext cx="3551555" cy="1790700"/>
                    </a:xfrm>
                    <a:prstGeom prst="rect">
                      <a:avLst/>
                    </a:prstGeom>
                    <a:noFill/>
                    <a:ln>
                      <a:noFill/>
                    </a:ln>
                    <a:extLst>
                      <a:ext uri="{53640926-AAD7-44D8-BBD7-CCE9431645EC}">
                        <a14:shadowObscured xmlns:a14="http://schemas.microsoft.com/office/drawing/2010/main"/>
                      </a:ext>
                    </a:extLst>
                  </pic:spPr>
                </pic:pic>
              </a:graphicData>
            </a:graphic>
          </wp:anchor>
        </w:drawing>
      </w:r>
      <w:r w:rsidR="00363AF7" w:rsidRPr="00363AF7">
        <w:rPr>
          <w:sz w:val="28"/>
          <w:szCs w:val="28"/>
        </w:rPr>
        <w:t>The activities of the Scientific and Methodological Council of the NS</w:t>
      </w:r>
      <w:r w:rsidR="00363AF7">
        <w:rPr>
          <w:sz w:val="28"/>
          <w:szCs w:val="28"/>
          <w:lang w:val="en-US"/>
        </w:rPr>
        <w:t>J</w:t>
      </w:r>
      <w:r w:rsidR="00363AF7" w:rsidRPr="00363AF7">
        <w:rPr>
          <w:sz w:val="28"/>
          <w:szCs w:val="28"/>
        </w:rPr>
        <w:t xml:space="preserve">U were ensured. Meetings were organised (Minutes of the SMC of 15.03.2021 No. 1; of 30.04.2021 No. 2; of 05.07.2021 No. 3; of 20.08.2021 No. 4; of 17.11.2021 No. 5; of 16.12.2021 No. </w:t>
      </w:r>
      <w:r w:rsidR="00363AF7" w:rsidRPr="00363AF7">
        <w:t>6</w:t>
      </w:r>
      <w:r w:rsidRPr="00E02193">
        <w:rPr>
          <w:rFonts w:eastAsia="Calibri"/>
          <w:spacing w:val="-2"/>
          <w:kern w:val="24"/>
          <w:position w:val="1"/>
          <w:sz w:val="28"/>
          <w:szCs w:val="28"/>
          <w:lang w:eastAsia="ru-RU"/>
        </w:rPr>
        <w:t xml:space="preserve">). </w:t>
      </w:r>
    </w:p>
    <w:p w:rsidR="00F90299" w:rsidRPr="00E02193" w:rsidRDefault="00F90299" w:rsidP="00F90299">
      <w:pPr>
        <w:spacing w:before="120"/>
        <w:ind w:firstLine="34"/>
        <w:jc w:val="center"/>
        <w:rPr>
          <w:rFonts w:ascii="Times New Roman" w:hAnsi="Times New Roman" w:cs="Times New Roman"/>
          <w:b/>
          <w:sz w:val="28"/>
          <w:szCs w:val="28"/>
          <w:lang w:val="uk-UA"/>
        </w:rPr>
      </w:pPr>
    </w:p>
    <w:p w:rsidR="00F90299" w:rsidRPr="00F90299" w:rsidRDefault="00F90299" w:rsidP="00F90299">
      <w:pPr>
        <w:pStyle w:val="1"/>
        <w:rPr>
          <w:lang w:val="uk-UA"/>
        </w:rPr>
      </w:pPr>
    </w:p>
    <w:p w:rsidR="00363AF7" w:rsidRDefault="00363AF7" w:rsidP="00734521">
      <w:pPr>
        <w:pStyle w:val="1"/>
        <w:jc w:val="center"/>
        <w:rPr>
          <w:rFonts w:ascii="Times New Roman" w:hAnsi="Times New Roman" w:cs="Times New Roman"/>
          <w:color w:val="auto"/>
        </w:rPr>
      </w:pPr>
    </w:p>
    <w:p w:rsidR="00363AF7" w:rsidRDefault="00363AF7" w:rsidP="00363AF7"/>
    <w:p w:rsidR="00363AF7" w:rsidRPr="00363AF7" w:rsidRDefault="00363AF7" w:rsidP="00363AF7"/>
    <w:p w:rsidR="00363AF7" w:rsidRPr="00363AF7" w:rsidRDefault="00F90299" w:rsidP="00363AF7">
      <w:pPr>
        <w:pStyle w:val="1"/>
        <w:jc w:val="center"/>
        <w:rPr>
          <w:rFonts w:ascii="Times New Roman" w:hAnsi="Times New Roman" w:cs="Times New Roman"/>
          <w:sz w:val="48"/>
          <w:szCs w:val="48"/>
          <w:lang w:eastAsia="uk-UA"/>
        </w:rPr>
      </w:pPr>
      <w:r w:rsidRPr="00734521">
        <w:rPr>
          <w:rFonts w:ascii="Times New Roman" w:hAnsi="Times New Roman" w:cs="Times New Roman"/>
          <w:color w:val="auto"/>
        </w:rPr>
        <w:t>VII</w:t>
      </w:r>
      <w:r w:rsidRPr="00734521">
        <w:rPr>
          <w:rFonts w:ascii="Times New Roman" w:hAnsi="Times New Roman" w:cs="Times New Roman"/>
          <w:color w:val="auto"/>
          <w:lang w:val="uk-UA"/>
        </w:rPr>
        <w:t xml:space="preserve">. </w:t>
      </w:r>
      <w:r w:rsidR="00363AF7" w:rsidRPr="00363AF7">
        <w:rPr>
          <w:rFonts w:ascii="Times New Roman" w:hAnsi="Times New Roman" w:cs="Times New Roman"/>
        </w:rPr>
        <w:t>INTERNATIONAL COOPERATION</w:t>
      </w:r>
    </w:p>
    <w:p w:rsidR="00363AF7" w:rsidRPr="00A562B4" w:rsidRDefault="00363AF7" w:rsidP="00A562B4">
      <w:pPr>
        <w:spacing w:before="100" w:beforeAutospacing="1" w:after="100" w:afterAutospacing="1"/>
        <w:jc w:val="both"/>
        <w:rPr>
          <w:rFonts w:ascii="Times New Roman" w:hAnsi="Times New Roman" w:cs="Times New Roman"/>
          <w:sz w:val="28"/>
          <w:szCs w:val="28"/>
          <w:lang w:val="uk-UA" w:eastAsia="uk-UA"/>
        </w:rPr>
      </w:pPr>
      <w:r w:rsidRPr="00A562B4">
        <w:rPr>
          <w:rFonts w:ascii="Times New Roman" w:hAnsi="Times New Roman" w:cs="Times New Roman"/>
          <w:sz w:val="28"/>
          <w:szCs w:val="28"/>
          <w:lang w:val="uk-UA" w:eastAsia="uk-UA"/>
        </w:rPr>
        <w:t>The international activities of the NSJS are aimed at studying the best international experience in the field of judicial education and its implementation in the educational process for institutional development and improvement of the educational and scientific components of the institution. In order to achieve its objectives, the NSJC cooperates with international organisations, judicial education institutions of other countries, and international technical assistance (ITA) programmes and projects working in the field of judicial education, including European Union (EU), Council of Europe (CoE), Organisation for Security and Cooperation in Europe (OSCE), United States Agency for International Development (USAID), Government of Canada, United Nations (UN), etc.</w:t>
      </w:r>
    </w:p>
    <w:p w:rsidR="00363AF7" w:rsidRPr="00A562B4" w:rsidRDefault="00363AF7" w:rsidP="00A562B4">
      <w:pPr>
        <w:spacing w:before="100" w:beforeAutospacing="1" w:after="100" w:afterAutospacing="1"/>
        <w:jc w:val="both"/>
        <w:rPr>
          <w:rFonts w:ascii="Times New Roman" w:hAnsi="Times New Roman" w:cs="Times New Roman"/>
          <w:sz w:val="28"/>
          <w:szCs w:val="28"/>
          <w:lang w:val="uk-UA" w:eastAsia="uk-UA"/>
        </w:rPr>
      </w:pPr>
      <w:r w:rsidRPr="00A562B4">
        <w:rPr>
          <w:rFonts w:ascii="Times New Roman" w:hAnsi="Times New Roman" w:cs="Times New Roman"/>
          <w:sz w:val="28"/>
          <w:szCs w:val="28"/>
          <w:lang w:val="uk-UA" w:eastAsia="uk-UA"/>
        </w:rPr>
        <w:t xml:space="preserve">The National School of Judges is a member of the International Organisation for Judicial Training (IOJT), which unites 136 educational institutions for judges and </w:t>
      </w:r>
      <w:r w:rsidRPr="00A562B4">
        <w:rPr>
          <w:rFonts w:ascii="Times New Roman" w:hAnsi="Times New Roman" w:cs="Times New Roman"/>
          <w:sz w:val="28"/>
          <w:szCs w:val="28"/>
          <w:lang w:val="uk-UA" w:eastAsia="uk-UA"/>
        </w:rPr>
        <w:lastRenderedPageBreak/>
        <w:t>prosecutors from 85 countries, and has observer status in the European Network for Judicial Education. Nataliia Shuklina, Vice-Rector of the National School of Judges, participated in the discussion of the organisation's plans at the XXIV General Assembly of the European Network for Judicial Education, which was held online this year.</w:t>
      </w:r>
    </w:p>
    <w:p w:rsidR="00363AF7" w:rsidRPr="0038186A" w:rsidRDefault="00F90299" w:rsidP="0038186A">
      <w:pPr>
        <w:pStyle w:val="a7"/>
        <w:jc w:val="both"/>
        <w:rPr>
          <w:sz w:val="28"/>
          <w:szCs w:val="28"/>
        </w:rPr>
      </w:pPr>
      <w:r w:rsidRPr="0038186A">
        <w:rPr>
          <w:noProof/>
          <w:sz w:val="28"/>
          <w:szCs w:val="28"/>
        </w:rPr>
        <w:drawing>
          <wp:anchor distT="0" distB="0" distL="114300" distR="114300" simplePos="0" relativeHeight="251709440" behindDoc="1" locked="0" layoutInCell="1" allowOverlap="1">
            <wp:simplePos x="0" y="0"/>
            <wp:positionH relativeFrom="margin">
              <wp:align>right</wp:align>
            </wp:positionH>
            <wp:positionV relativeFrom="paragraph">
              <wp:posOffset>3883025</wp:posOffset>
            </wp:positionV>
            <wp:extent cx="2876550" cy="1915160"/>
            <wp:effectExtent l="0" t="0" r="0" b="8890"/>
            <wp:wrapTight wrapText="bothSides">
              <wp:wrapPolygon edited="0">
                <wp:start x="0" y="0"/>
                <wp:lineTo x="0" y="21485"/>
                <wp:lineTo x="21457" y="21485"/>
                <wp:lineTo x="21457" y="0"/>
                <wp:lineTo x="0" y="0"/>
              </wp:wrapPolygon>
            </wp:wrapTight>
            <wp:docPr id="25" name="Рисунок 25" descr="C:\Users\fedorchenkonya\Downloads\IMG_5100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fedorchenkonya\Downloads\IMG_5100_2.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876550" cy="1915160"/>
                    </a:xfrm>
                    <a:prstGeom prst="rect">
                      <a:avLst/>
                    </a:prstGeom>
                    <a:noFill/>
                    <a:ln>
                      <a:noFill/>
                    </a:ln>
                  </pic:spPr>
                </pic:pic>
              </a:graphicData>
            </a:graphic>
          </wp:anchor>
        </w:drawing>
      </w:r>
      <w:r w:rsidRPr="0038186A">
        <w:rPr>
          <w:noProof/>
          <w:sz w:val="28"/>
          <w:szCs w:val="28"/>
        </w:rPr>
        <w:drawing>
          <wp:anchor distT="0" distB="0" distL="114300" distR="114300" simplePos="0" relativeHeight="251706368" behindDoc="1" locked="0" layoutInCell="1" allowOverlap="1">
            <wp:simplePos x="0" y="0"/>
            <wp:positionH relativeFrom="margin">
              <wp:align>left</wp:align>
            </wp:positionH>
            <wp:positionV relativeFrom="paragraph">
              <wp:posOffset>48260</wp:posOffset>
            </wp:positionV>
            <wp:extent cx="3288665" cy="2066925"/>
            <wp:effectExtent l="0" t="0" r="6985" b="9525"/>
            <wp:wrapTight wrapText="bothSides">
              <wp:wrapPolygon edited="0">
                <wp:start x="0" y="0"/>
                <wp:lineTo x="0" y="21500"/>
                <wp:lineTo x="21521" y="21500"/>
                <wp:lineTo x="21521" y="0"/>
                <wp:lineTo x="0" y="0"/>
              </wp:wrapPolygon>
            </wp:wrapTight>
            <wp:docPr id="24" name="Рисунок 24" descr="C:\Users\fedorchenkonya\Downloads\IMG_54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edorchenkonya\Downloads\IMG_5439.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288665" cy="2066925"/>
                    </a:xfrm>
                    <a:prstGeom prst="rect">
                      <a:avLst/>
                    </a:prstGeom>
                    <a:noFill/>
                    <a:ln>
                      <a:noFill/>
                    </a:ln>
                  </pic:spPr>
                </pic:pic>
              </a:graphicData>
            </a:graphic>
          </wp:anchor>
        </w:drawing>
      </w:r>
      <w:r w:rsidR="00363AF7" w:rsidRPr="0038186A">
        <w:rPr>
          <w:sz w:val="28"/>
          <w:szCs w:val="28"/>
        </w:rPr>
        <w:t xml:space="preserve">Cooperation with international technical assistance projects, of which there are 34 in 2021, is aimed at strengthening the institutional capacity of the NSDC. Most of these projects continue to operate, but there are also those projects in which the NSSU's participation was made possible by actively seeking to expand the scope of cooperation. </w:t>
      </w:r>
    </w:p>
    <w:p w:rsidR="00F90299" w:rsidRPr="00E02193" w:rsidRDefault="00F90299" w:rsidP="00F90299">
      <w:pPr>
        <w:spacing w:after="0"/>
        <w:ind w:firstLine="708"/>
        <w:jc w:val="both"/>
        <w:rPr>
          <w:rFonts w:ascii="Times New Roman" w:hAnsi="Times New Roman" w:cs="Times New Roman"/>
          <w:sz w:val="28"/>
          <w:szCs w:val="28"/>
          <w:lang w:val="uk-UA"/>
        </w:rPr>
      </w:pPr>
      <w:r w:rsidRPr="00E02193">
        <w:rPr>
          <w:rFonts w:ascii="Times New Roman" w:hAnsi="Times New Roman" w:cs="Times New Roman"/>
          <w:sz w:val="28"/>
          <w:szCs w:val="28"/>
          <w:lang w:val="uk-UA"/>
        </w:rPr>
        <w:t xml:space="preserve"> </w:t>
      </w:r>
      <w:r w:rsidR="008D328F" w:rsidRPr="008D328F">
        <w:rPr>
          <w:rFonts w:ascii="Times New Roman" w:hAnsi="Times New Roman" w:cs="Times New Roman"/>
          <w:sz w:val="28"/>
          <w:szCs w:val="28"/>
          <w:lang w:val="uk-UA"/>
        </w:rPr>
        <w:t>Examples of this development include the launch of work with projects and international organisations such as the CoE project ‘Support to the Judiciary in Ukraine in Ensuring Better Access to Justice’ to develop a training course on legal certainty, and the OSCE Project Co-ordinator in Ukraine project ‘Support to Judicial Training’ to develop methodological recommendations for effective distance learnin</w:t>
      </w:r>
      <w:r w:rsidR="008D328F">
        <w:rPr>
          <w:rFonts w:ascii="Times New Roman" w:hAnsi="Times New Roman" w:cs="Times New Roman"/>
          <w:sz w:val="28"/>
          <w:szCs w:val="28"/>
          <w:lang w:val="uk-UA"/>
        </w:rPr>
        <w:t xml:space="preserve">g for justice system personnel, </w:t>
      </w:r>
      <w:r w:rsidR="008D328F" w:rsidRPr="008D328F">
        <w:rPr>
          <w:rFonts w:ascii="Times New Roman" w:hAnsi="Times New Roman" w:cs="Times New Roman"/>
          <w:sz w:val="28"/>
          <w:szCs w:val="28"/>
          <w:lang w:val="uk-UA"/>
        </w:rPr>
        <w:t>The UK National Crime Agency (NCA) on conducting training for judges under the e-learning course ‘Demystifying Cybercrime’, the United Nations Children's Fund (UNICEF) in Ukraine on organising a series of webinars on procedural legislation in the field of justice for children and developing a distance learning course for judges on criminal cases involving children, etc.</w:t>
      </w:r>
    </w:p>
    <w:p w:rsidR="00F90299" w:rsidRPr="00E02193" w:rsidRDefault="008D328F" w:rsidP="00F90299">
      <w:pPr>
        <w:spacing w:after="0"/>
        <w:ind w:firstLine="708"/>
        <w:jc w:val="both"/>
        <w:rPr>
          <w:rFonts w:ascii="Times New Roman" w:hAnsi="Times New Roman" w:cs="Times New Roman"/>
          <w:sz w:val="28"/>
          <w:szCs w:val="28"/>
          <w:lang w:val="uk-UA"/>
        </w:rPr>
      </w:pPr>
      <w:r w:rsidRPr="008D328F">
        <w:rPr>
          <w:rFonts w:ascii="Times New Roman" w:hAnsi="Times New Roman" w:cs="Times New Roman"/>
          <w:sz w:val="28"/>
          <w:szCs w:val="28"/>
          <w:lang w:val="en-US"/>
        </w:rPr>
        <w:t>The quarantine restrictions imposed in Ukraine due to the COVID-19 pandemic have not only not stopped, but also intensified international cooperation, moving most events online. Let's recall the main events, namely:</w:t>
      </w:r>
    </w:p>
    <w:p w:rsidR="00F90299" w:rsidRPr="00E02193" w:rsidRDefault="008D328F" w:rsidP="00847DB5">
      <w:pPr>
        <w:pStyle w:val="a5"/>
        <w:numPr>
          <w:ilvl w:val="0"/>
          <w:numId w:val="5"/>
        </w:numPr>
        <w:tabs>
          <w:tab w:val="left" w:pos="1134"/>
        </w:tabs>
        <w:spacing w:after="0" w:line="240" w:lineRule="auto"/>
        <w:ind w:left="0" w:firstLine="567"/>
        <w:jc w:val="both"/>
        <w:rPr>
          <w:rFonts w:ascii="Times New Roman" w:hAnsi="Times New Roman"/>
          <w:sz w:val="28"/>
          <w:szCs w:val="28"/>
        </w:rPr>
      </w:pPr>
      <w:r w:rsidRPr="008D328F">
        <w:rPr>
          <w:rFonts w:ascii="Times New Roman" w:hAnsi="Times New Roman"/>
          <w:sz w:val="28"/>
          <w:szCs w:val="28"/>
          <w:lang w:val="en-US"/>
        </w:rPr>
        <w:t>On</w:t>
      </w:r>
      <w:r w:rsidRPr="008D328F">
        <w:rPr>
          <w:rFonts w:ascii="Times New Roman" w:hAnsi="Times New Roman"/>
          <w:sz w:val="28"/>
          <w:szCs w:val="28"/>
        </w:rPr>
        <w:t xml:space="preserve"> 22-26 </w:t>
      </w:r>
      <w:r w:rsidRPr="008D328F">
        <w:rPr>
          <w:rFonts w:ascii="Times New Roman" w:hAnsi="Times New Roman"/>
          <w:sz w:val="28"/>
          <w:szCs w:val="28"/>
          <w:lang w:val="en-US"/>
        </w:rPr>
        <w:t>February</w:t>
      </w:r>
      <w:r w:rsidRPr="008D328F">
        <w:rPr>
          <w:rFonts w:ascii="Times New Roman" w:hAnsi="Times New Roman"/>
          <w:sz w:val="28"/>
          <w:szCs w:val="28"/>
        </w:rPr>
        <w:t xml:space="preserve"> 2021, </w:t>
      </w:r>
      <w:r w:rsidRPr="008D328F">
        <w:rPr>
          <w:rFonts w:ascii="Times New Roman" w:hAnsi="Times New Roman"/>
          <w:sz w:val="28"/>
          <w:szCs w:val="28"/>
          <w:lang w:val="en-US"/>
        </w:rPr>
        <w:t>a</w:t>
      </w:r>
      <w:r w:rsidRPr="008D328F">
        <w:rPr>
          <w:rFonts w:ascii="Times New Roman" w:hAnsi="Times New Roman"/>
          <w:sz w:val="28"/>
          <w:szCs w:val="28"/>
        </w:rPr>
        <w:t xml:space="preserve"> </w:t>
      </w:r>
      <w:r w:rsidRPr="008D328F">
        <w:rPr>
          <w:rFonts w:ascii="Times New Roman" w:hAnsi="Times New Roman"/>
          <w:sz w:val="28"/>
          <w:szCs w:val="28"/>
          <w:lang w:val="en-US"/>
        </w:rPr>
        <w:t>five</w:t>
      </w:r>
      <w:r w:rsidRPr="008D328F">
        <w:rPr>
          <w:rFonts w:ascii="Times New Roman" w:hAnsi="Times New Roman"/>
          <w:sz w:val="28"/>
          <w:szCs w:val="28"/>
        </w:rPr>
        <w:t>-</w:t>
      </w:r>
      <w:r w:rsidRPr="008D328F">
        <w:rPr>
          <w:rFonts w:ascii="Times New Roman" w:hAnsi="Times New Roman"/>
          <w:sz w:val="28"/>
          <w:szCs w:val="28"/>
          <w:lang w:val="en-US"/>
        </w:rPr>
        <w:t>day</w:t>
      </w:r>
      <w:r w:rsidRPr="008D328F">
        <w:rPr>
          <w:rFonts w:ascii="Times New Roman" w:hAnsi="Times New Roman"/>
          <w:sz w:val="28"/>
          <w:szCs w:val="28"/>
        </w:rPr>
        <w:t xml:space="preserve"> </w:t>
      </w:r>
      <w:r w:rsidRPr="008D328F">
        <w:rPr>
          <w:rFonts w:ascii="Times New Roman" w:hAnsi="Times New Roman"/>
          <w:sz w:val="28"/>
          <w:szCs w:val="28"/>
          <w:lang w:val="en-US"/>
        </w:rPr>
        <w:t>online</w:t>
      </w:r>
      <w:r w:rsidRPr="008D328F">
        <w:rPr>
          <w:rFonts w:ascii="Times New Roman" w:hAnsi="Times New Roman"/>
          <w:sz w:val="28"/>
          <w:szCs w:val="28"/>
        </w:rPr>
        <w:t xml:space="preserve"> </w:t>
      </w:r>
      <w:r w:rsidRPr="008D328F">
        <w:rPr>
          <w:rFonts w:ascii="Times New Roman" w:hAnsi="Times New Roman"/>
          <w:sz w:val="28"/>
          <w:szCs w:val="28"/>
          <w:lang w:val="en-US"/>
        </w:rPr>
        <w:t>training</w:t>
      </w:r>
      <w:r w:rsidRPr="008D328F">
        <w:rPr>
          <w:rFonts w:ascii="Times New Roman" w:hAnsi="Times New Roman"/>
          <w:sz w:val="28"/>
          <w:szCs w:val="28"/>
        </w:rPr>
        <w:t xml:space="preserve"> </w:t>
      </w:r>
      <w:r w:rsidRPr="008D328F">
        <w:rPr>
          <w:rFonts w:ascii="Times New Roman" w:hAnsi="Times New Roman"/>
          <w:sz w:val="28"/>
          <w:szCs w:val="28"/>
          <w:lang w:val="en-US"/>
        </w:rPr>
        <w:t>for</w:t>
      </w:r>
      <w:r w:rsidRPr="008D328F">
        <w:rPr>
          <w:rFonts w:ascii="Times New Roman" w:hAnsi="Times New Roman"/>
          <w:sz w:val="28"/>
          <w:szCs w:val="28"/>
        </w:rPr>
        <w:t xml:space="preserve"> </w:t>
      </w:r>
      <w:r w:rsidRPr="008D328F">
        <w:rPr>
          <w:rFonts w:ascii="Times New Roman" w:hAnsi="Times New Roman"/>
          <w:sz w:val="28"/>
          <w:szCs w:val="28"/>
          <w:lang w:val="en-US"/>
        </w:rPr>
        <w:t>judges</w:t>
      </w:r>
      <w:r w:rsidRPr="008D328F">
        <w:rPr>
          <w:rFonts w:ascii="Times New Roman" w:hAnsi="Times New Roman"/>
          <w:sz w:val="28"/>
          <w:szCs w:val="28"/>
        </w:rPr>
        <w:t xml:space="preserve"> </w:t>
      </w:r>
      <w:r w:rsidRPr="008D328F">
        <w:rPr>
          <w:rFonts w:ascii="Times New Roman" w:hAnsi="Times New Roman"/>
          <w:sz w:val="28"/>
          <w:szCs w:val="28"/>
          <w:lang w:val="en-US"/>
        </w:rPr>
        <w:t>of</w:t>
      </w:r>
      <w:r w:rsidRPr="008D328F">
        <w:rPr>
          <w:rFonts w:ascii="Times New Roman" w:hAnsi="Times New Roman"/>
          <w:sz w:val="28"/>
          <w:szCs w:val="28"/>
        </w:rPr>
        <w:t xml:space="preserve"> </w:t>
      </w:r>
      <w:r w:rsidRPr="008D328F">
        <w:rPr>
          <w:rFonts w:ascii="Times New Roman" w:hAnsi="Times New Roman"/>
          <w:sz w:val="28"/>
          <w:szCs w:val="28"/>
          <w:lang w:val="en-US"/>
        </w:rPr>
        <w:t>the</w:t>
      </w:r>
      <w:r w:rsidRPr="008D328F">
        <w:rPr>
          <w:rFonts w:ascii="Times New Roman" w:hAnsi="Times New Roman"/>
          <w:sz w:val="28"/>
          <w:szCs w:val="28"/>
        </w:rPr>
        <w:t xml:space="preserve"> </w:t>
      </w:r>
      <w:r w:rsidRPr="008D328F">
        <w:rPr>
          <w:rFonts w:ascii="Times New Roman" w:hAnsi="Times New Roman"/>
          <w:sz w:val="28"/>
          <w:szCs w:val="28"/>
          <w:lang w:val="en-US"/>
        </w:rPr>
        <w:t>High</w:t>
      </w:r>
      <w:r w:rsidRPr="008D328F">
        <w:rPr>
          <w:rFonts w:ascii="Times New Roman" w:hAnsi="Times New Roman"/>
          <w:sz w:val="28"/>
          <w:szCs w:val="28"/>
        </w:rPr>
        <w:t xml:space="preserve"> </w:t>
      </w:r>
      <w:r w:rsidRPr="008D328F">
        <w:rPr>
          <w:rFonts w:ascii="Times New Roman" w:hAnsi="Times New Roman"/>
          <w:sz w:val="28"/>
          <w:szCs w:val="28"/>
          <w:lang w:val="en-US"/>
        </w:rPr>
        <w:t>Anti</w:t>
      </w:r>
      <w:r w:rsidRPr="008D328F">
        <w:rPr>
          <w:rFonts w:ascii="Times New Roman" w:hAnsi="Times New Roman"/>
          <w:sz w:val="28"/>
          <w:szCs w:val="28"/>
        </w:rPr>
        <w:t>-</w:t>
      </w:r>
      <w:r w:rsidRPr="008D328F">
        <w:rPr>
          <w:rFonts w:ascii="Times New Roman" w:hAnsi="Times New Roman"/>
          <w:sz w:val="28"/>
          <w:szCs w:val="28"/>
          <w:lang w:val="en-US"/>
        </w:rPr>
        <w:t>Corruption</w:t>
      </w:r>
      <w:r w:rsidRPr="008D328F">
        <w:rPr>
          <w:rFonts w:ascii="Times New Roman" w:hAnsi="Times New Roman"/>
          <w:sz w:val="28"/>
          <w:szCs w:val="28"/>
        </w:rPr>
        <w:t xml:space="preserve"> </w:t>
      </w:r>
      <w:r w:rsidRPr="008D328F">
        <w:rPr>
          <w:rFonts w:ascii="Times New Roman" w:hAnsi="Times New Roman"/>
          <w:sz w:val="28"/>
          <w:szCs w:val="28"/>
          <w:lang w:val="en-US"/>
        </w:rPr>
        <w:t>Court</w:t>
      </w:r>
      <w:r w:rsidRPr="008D328F">
        <w:rPr>
          <w:rFonts w:ascii="Times New Roman" w:hAnsi="Times New Roman"/>
          <w:sz w:val="28"/>
          <w:szCs w:val="28"/>
        </w:rPr>
        <w:t xml:space="preserve"> </w:t>
      </w:r>
      <w:r w:rsidRPr="008D328F">
        <w:rPr>
          <w:rFonts w:ascii="Times New Roman" w:hAnsi="Times New Roman"/>
          <w:sz w:val="28"/>
          <w:szCs w:val="28"/>
          <w:lang w:val="en-US"/>
        </w:rPr>
        <w:t>was</w:t>
      </w:r>
      <w:r w:rsidRPr="008D328F">
        <w:rPr>
          <w:rFonts w:ascii="Times New Roman" w:hAnsi="Times New Roman"/>
          <w:sz w:val="28"/>
          <w:szCs w:val="28"/>
        </w:rPr>
        <w:t xml:space="preserve"> </w:t>
      </w:r>
      <w:r w:rsidRPr="008D328F">
        <w:rPr>
          <w:rFonts w:ascii="Times New Roman" w:hAnsi="Times New Roman"/>
          <w:sz w:val="28"/>
          <w:szCs w:val="28"/>
          <w:lang w:val="en-US"/>
        </w:rPr>
        <w:t>held</w:t>
      </w:r>
      <w:r w:rsidRPr="008D328F">
        <w:rPr>
          <w:rFonts w:ascii="Times New Roman" w:hAnsi="Times New Roman"/>
          <w:sz w:val="28"/>
          <w:szCs w:val="28"/>
        </w:rPr>
        <w:t xml:space="preserve">. </w:t>
      </w:r>
      <w:r w:rsidRPr="008D328F">
        <w:rPr>
          <w:rFonts w:ascii="Times New Roman" w:hAnsi="Times New Roman"/>
          <w:sz w:val="28"/>
          <w:szCs w:val="28"/>
          <w:lang w:val="en-US"/>
        </w:rPr>
        <w:t>The training programme involved leading Ukrainian and international experts, whose participation was made possible through the cooperation of 10 international technical assistance programmes and projects, including the EU Anti-Corruption Initiative in Ukraine, the EU Pravo-Justice project, the Council of Europe projects ‘Support to Constitutional and Legal Reforms, Constitutional Justice and Assistance to the Verkhovna Rada in Implementing Reforms to Improve its Effectiveness’, ‘Strengthening Anti-Money Laundering and Counter-</w:t>
      </w:r>
      <w:r w:rsidRPr="008D328F">
        <w:rPr>
          <w:rFonts w:ascii="Times New Roman" w:hAnsi="Times New Roman"/>
          <w:sz w:val="28"/>
          <w:szCs w:val="28"/>
          <w:lang w:val="en-US"/>
        </w:rPr>
        <w:lastRenderedPageBreak/>
        <w:t>Terrorism Financing Measures in Ukraine’, ‘Strengthening the Anti-Money Laundering and Counter-Terrorism Financing in Ukraine’, ‘Strengthening the Anti-Corruption Action Plan in Ukraine’, ‘Strengthening the Anti-Money Laundering and Counter-Terrorism Financing in Ukraine’, ‘Strengthening the Anti-Money Laundering and Counter-Terrorism Financing in Ukraine’. The event was attended by 38 judges of the High Anti-Corruption Court, as well as representatives of the National School of Judges, leading Ukrainian and international experts and scholars.</w:t>
      </w:r>
    </w:p>
    <w:p w:rsidR="008D328F" w:rsidRPr="0038186A" w:rsidRDefault="008D328F" w:rsidP="00847DB5">
      <w:pPr>
        <w:pStyle w:val="a5"/>
        <w:numPr>
          <w:ilvl w:val="0"/>
          <w:numId w:val="5"/>
        </w:numPr>
        <w:tabs>
          <w:tab w:val="left" w:pos="1134"/>
        </w:tabs>
        <w:spacing w:after="0"/>
        <w:ind w:left="0" w:firstLine="567"/>
        <w:jc w:val="both"/>
        <w:rPr>
          <w:rFonts w:ascii="Times New Roman" w:hAnsi="Times New Roman"/>
          <w:sz w:val="28"/>
          <w:szCs w:val="28"/>
        </w:rPr>
      </w:pPr>
      <w:r w:rsidRPr="0038186A">
        <w:rPr>
          <w:rFonts w:ascii="Times New Roman" w:hAnsi="Times New Roman"/>
          <w:sz w:val="28"/>
          <w:szCs w:val="28"/>
        </w:rPr>
        <w:t xml:space="preserve">The National School of Judges, in cooperation with the Council of Europe project ‘Further Support to Ukraine's Implementation of Decisions in the Context of Article 6 of the European Convention on Human Rights’, produced 20 video lectures based on recordings of speeches by experts involved in the Supreme Court judicial training programme held in IV quarter of 2020. </w:t>
      </w:r>
    </w:p>
    <w:p w:rsidR="008D328F" w:rsidRDefault="008D328F" w:rsidP="00847DB5">
      <w:pPr>
        <w:pStyle w:val="a5"/>
        <w:numPr>
          <w:ilvl w:val="0"/>
          <w:numId w:val="5"/>
        </w:numPr>
        <w:tabs>
          <w:tab w:val="left" w:pos="1134"/>
        </w:tabs>
        <w:spacing w:after="0"/>
        <w:ind w:left="0" w:firstLine="567"/>
        <w:jc w:val="both"/>
        <w:rPr>
          <w:rFonts w:ascii="Times New Roman" w:hAnsi="Times New Roman"/>
          <w:sz w:val="28"/>
          <w:szCs w:val="28"/>
        </w:rPr>
      </w:pPr>
      <w:r w:rsidRPr="008D328F">
        <w:rPr>
          <w:rFonts w:ascii="Times New Roman" w:hAnsi="Times New Roman"/>
          <w:sz w:val="28"/>
          <w:szCs w:val="28"/>
        </w:rPr>
        <w:t xml:space="preserve">Jointly with the USAID New Justice Program and the National Judicial College (Reno, USA), a series of 12 webinars were held to discuss and share experiences with American colleagues on topical issues of daily judicial activities and, in particular, during the pandemic on the following topics: ‘Adoption of court decisions‘, “Peculiarities of consideration of ”complex’ family disputes’, “Effective consideration of minor cases”, “Leadership for judges”, “Skills of effective organisation and management of the judicial process”, “Becoming a judge: an interactive webinar for newly appointed judges”, ’Online dispute resolution (ODR): Practical Aspects’, “Therapeutic Jurisprudence and Courts to Address Social Problems in the United States”, “Case Management Skills”, “Artificial Intelligence (AI): What Judges Need to Know”, “Collegial Decision Making”, and “Basics of Cybersecurity in Courts”. </w:t>
      </w:r>
    </w:p>
    <w:p w:rsidR="00F90299" w:rsidRPr="00E02193" w:rsidRDefault="008D328F" w:rsidP="00847DB5">
      <w:pPr>
        <w:pStyle w:val="a5"/>
        <w:numPr>
          <w:ilvl w:val="0"/>
          <w:numId w:val="5"/>
        </w:numPr>
        <w:tabs>
          <w:tab w:val="left" w:pos="993"/>
        </w:tabs>
        <w:spacing w:after="0"/>
        <w:ind w:left="0" w:firstLine="709"/>
        <w:jc w:val="both"/>
        <w:rPr>
          <w:rFonts w:ascii="Times New Roman" w:hAnsi="Times New Roman"/>
          <w:sz w:val="28"/>
          <w:szCs w:val="28"/>
        </w:rPr>
      </w:pPr>
      <w:r w:rsidRPr="008D328F">
        <w:rPr>
          <w:rFonts w:ascii="Times New Roman" w:hAnsi="Times New Roman"/>
          <w:sz w:val="28"/>
          <w:szCs w:val="28"/>
        </w:rPr>
        <w:t xml:space="preserve">Cooperation with the Ukrainian-Canadian Judicial Reform Support Project focused on the development, testing and training of trainers for the on-site and distance learning course for judges ‘Practical Aspects of Considering Criminal Proceedings on Domestic Violence’. The training course for judicial candidates ‘Overcoming Gender Stereotypes in the Administration of Justice’ was tested and trained for trainers. In autumn, the project supported the publication of a scientific and practical manual for trainers entitled Overcoming Gender Stereotypes in the Administration of Justice.   Equally important was the development and conduct of trainings for trainers on ‘News as an Effective Means of Judicial Communication’ and ‘Communication as a Means of Increasing Trust in the Justice System’. </w:t>
      </w:r>
      <w:r w:rsidR="00F90299" w:rsidRPr="00E02193">
        <w:rPr>
          <w:rFonts w:ascii="Times New Roman" w:hAnsi="Times New Roman"/>
          <w:sz w:val="28"/>
          <w:szCs w:val="28"/>
        </w:rPr>
        <w:t>Спільна робота з проєктом ЄС “ПРАВО-Justice”:</w:t>
      </w:r>
    </w:p>
    <w:p w:rsidR="008578E9" w:rsidRPr="008578E9" w:rsidRDefault="008578E9" w:rsidP="00847DB5">
      <w:pPr>
        <w:pStyle w:val="a5"/>
        <w:numPr>
          <w:ilvl w:val="0"/>
          <w:numId w:val="4"/>
        </w:numPr>
        <w:tabs>
          <w:tab w:val="left" w:pos="993"/>
        </w:tabs>
        <w:spacing w:after="0"/>
        <w:ind w:left="0" w:firstLine="709"/>
        <w:jc w:val="both"/>
        <w:rPr>
          <w:rFonts w:ascii="Times New Roman" w:hAnsi="Times New Roman"/>
          <w:sz w:val="28"/>
          <w:szCs w:val="28"/>
        </w:rPr>
      </w:pPr>
      <w:r w:rsidRPr="008578E9">
        <w:rPr>
          <w:rFonts w:ascii="Times New Roman" w:hAnsi="Times New Roman"/>
          <w:sz w:val="28"/>
          <w:szCs w:val="28"/>
        </w:rPr>
        <w:t xml:space="preserve"> development of a series of webinars for judges of district administrative courts ‘Topical aspects (issues) of writing a court decision in administrative </w:t>
      </w:r>
      <w:r w:rsidRPr="008578E9">
        <w:rPr>
          <w:rFonts w:ascii="Times New Roman" w:hAnsi="Times New Roman"/>
          <w:sz w:val="28"/>
          <w:szCs w:val="28"/>
        </w:rPr>
        <w:lastRenderedPageBreak/>
        <w:t>proceedings’ (5 meetings of the development group were held) and a course for judges ‘Judicial control over the exercise of discretionary powers by administrative bodies’;</w:t>
      </w:r>
    </w:p>
    <w:p w:rsidR="008578E9" w:rsidRDefault="008578E9" w:rsidP="00847DB5">
      <w:pPr>
        <w:pStyle w:val="a5"/>
        <w:numPr>
          <w:ilvl w:val="0"/>
          <w:numId w:val="4"/>
        </w:numPr>
        <w:tabs>
          <w:tab w:val="left" w:pos="993"/>
        </w:tabs>
        <w:spacing w:after="0"/>
        <w:ind w:left="0" w:firstLine="709"/>
        <w:jc w:val="both"/>
        <w:rPr>
          <w:rFonts w:ascii="Times New Roman" w:hAnsi="Times New Roman"/>
          <w:sz w:val="28"/>
          <w:szCs w:val="28"/>
        </w:rPr>
      </w:pPr>
      <w:r w:rsidRPr="008578E9">
        <w:rPr>
          <w:rFonts w:ascii="Times New Roman" w:hAnsi="Times New Roman"/>
          <w:sz w:val="28"/>
          <w:szCs w:val="28"/>
        </w:rPr>
        <w:t>a training manual for judges-mentors (coaches) ‘Institute of Mentoring: Theory and Practice of Application in Judicial Education’ was prepared for publication (in cooperation with European experts);</w:t>
      </w:r>
    </w:p>
    <w:p w:rsidR="008578E9" w:rsidRPr="008578E9" w:rsidRDefault="008578E9" w:rsidP="00847DB5">
      <w:pPr>
        <w:pStyle w:val="a5"/>
        <w:numPr>
          <w:ilvl w:val="0"/>
          <w:numId w:val="4"/>
        </w:numPr>
        <w:tabs>
          <w:tab w:val="left" w:pos="993"/>
        </w:tabs>
        <w:spacing w:after="0"/>
        <w:ind w:left="0" w:firstLine="709"/>
        <w:jc w:val="both"/>
        <w:rPr>
          <w:rFonts w:ascii="Times New Roman" w:hAnsi="Times New Roman"/>
          <w:sz w:val="28"/>
          <w:szCs w:val="28"/>
        </w:rPr>
      </w:pPr>
      <w:r w:rsidRPr="008578E9">
        <w:rPr>
          <w:rFonts w:ascii="Times New Roman" w:hAnsi="Times New Roman"/>
          <w:sz w:val="28"/>
          <w:szCs w:val="28"/>
        </w:rPr>
        <w:t>held a series of thematic conferences (8 events), a training course on the rule of law and judicial ethics (6 interactive modules),</w:t>
      </w:r>
      <w:r w:rsidRPr="008578E9">
        <w:rPr>
          <w:rFonts w:ascii="Times New Roman" w:hAnsi="Times New Roman"/>
          <w:sz w:val="28"/>
          <w:szCs w:val="28"/>
          <w:lang w:val="en-US"/>
        </w:rPr>
        <w:t xml:space="preserve"> 8-day training course ‘Training of Trainers on Implementation of Services for Vulnerable Court Users’, 5-day training on EU competition law for judges of the Commercial Court of Cassation of the Supreme Court, 4-day training on EU competition law in the field of state aid in the EU for judges of the Administrative Court of Cassation of the Supreme Court, training course ‘Model Solutions for Communication of Ukrainian Courts’ (in the format of 8 webinars) and a a two-day specialised webinar for employees of the Court Security Service ‘Effective Security Management in Courts: Current Challenges and Responsibilities’.</w:t>
      </w:r>
    </w:p>
    <w:p w:rsidR="008578E9" w:rsidRPr="008578E9" w:rsidRDefault="008578E9" w:rsidP="008578E9">
      <w:pPr>
        <w:pStyle w:val="a7"/>
        <w:jc w:val="both"/>
        <w:rPr>
          <w:sz w:val="28"/>
          <w:szCs w:val="28"/>
        </w:rPr>
      </w:pPr>
      <w:r>
        <w:rPr>
          <w:sz w:val="28"/>
          <w:szCs w:val="28"/>
        </w:rPr>
        <w:tab/>
      </w:r>
      <w:r w:rsidRPr="008578E9">
        <w:rPr>
          <w:sz w:val="28"/>
          <w:szCs w:val="28"/>
        </w:rPr>
        <w:t xml:space="preserve">Within the framework of the OSCE Project Co-ordinator in Ukraine's Support to Judicial Training project, methodological recommendations for effective distance/online training of justice system personnel have been developed. Experts from the Netherlands and Italy were invited to the working group meeting to share their experience of distance/online training in their respective countries. The discussion at the meeting of the working group of the National School of Judges and judges who developed the training courses resulted in the identification of the necessary changes to the special training programme for judicial candidates to integrate a gender component. The development of a training course for the training and periodic education of judges ‘Consideration by Courts of Criminal Proceedings on Criminal Offences Against Human Life and Health’ is being finalised. A bilingual version of the Strategy for the Development of Judicial Education in Ukraine for 2021-2025 was published with the assistance of the project. On 1-2 December 2021, the project held the following events </w:t>
      </w:r>
    </w:p>
    <w:p w:rsidR="008578E9" w:rsidRPr="008578E9" w:rsidRDefault="008578E9" w:rsidP="008578E9">
      <w:pPr>
        <w:pStyle w:val="a7"/>
        <w:jc w:val="both"/>
        <w:rPr>
          <w:sz w:val="28"/>
          <w:szCs w:val="28"/>
        </w:rPr>
      </w:pPr>
      <w:r w:rsidRPr="008578E9">
        <w:rPr>
          <w:sz w:val="28"/>
          <w:szCs w:val="28"/>
        </w:rPr>
        <w:t>The X International Forum on the Case Law of the European Court of Human Rights, co-organised and attended by the Supreme Court and the National School of Judges. A training course for judges of general courts and judges of the High Anti-Corruption Court ‘Peculiarities of the Application of Special Confiscation by the Courts of Ukraine’ was developed and tested.</w:t>
      </w:r>
    </w:p>
    <w:p w:rsidR="008578E9" w:rsidRPr="008578E9" w:rsidRDefault="008578E9" w:rsidP="008578E9">
      <w:pPr>
        <w:pStyle w:val="a7"/>
        <w:jc w:val="both"/>
        <w:rPr>
          <w:sz w:val="28"/>
          <w:szCs w:val="28"/>
        </w:rPr>
      </w:pPr>
      <w:r w:rsidRPr="008578E9">
        <w:rPr>
          <w:sz w:val="28"/>
          <w:szCs w:val="28"/>
        </w:rPr>
        <w:t xml:space="preserve">Active cooperation between the NJSU and the European Union Advisory Mission to Ukraine and its missions continues, with a series of seminars on the Judicial System of Ukraine, Legislation on the Judiciary and Status of Judges held for employees of the territorial departments of the Judicial Protection Service in Ternopil, Ivano-Frankivsk, </w:t>
      </w:r>
      <w:r w:rsidRPr="008578E9">
        <w:rPr>
          <w:sz w:val="28"/>
          <w:szCs w:val="28"/>
        </w:rPr>
        <w:lastRenderedPageBreak/>
        <w:t>Rivne, Donetsk, Kharkiv, Khmelnytskyi, Zaporizhzhia, Kirovohrad and Dnipro regions. The practice of holding joint webinars with the participation of European judges to share experience on the following topics: ‘Sentencing practice’, ‘Plea bargaining in criminal proceedings’ and ‘Jury trial in criminal proceedings: benefits and reforms’ was launched.</w:t>
      </w:r>
    </w:p>
    <w:p w:rsidR="008578E9" w:rsidRPr="008578E9" w:rsidRDefault="008578E9" w:rsidP="008578E9">
      <w:pPr>
        <w:pStyle w:val="a7"/>
        <w:jc w:val="both"/>
        <w:rPr>
          <w:sz w:val="28"/>
          <w:szCs w:val="28"/>
        </w:rPr>
      </w:pPr>
      <w:r w:rsidRPr="008578E9">
        <w:rPr>
          <w:sz w:val="28"/>
          <w:szCs w:val="28"/>
        </w:rPr>
        <w:t>A workshop for judges on ‘Ensuring human rights standards under Article 5 of the ECHR when reviewing decisions of investigating judges and the court of appeal’ was developed and tested.</w:t>
      </w:r>
    </w:p>
    <w:p w:rsidR="008578E9" w:rsidRPr="008578E9" w:rsidRDefault="008578E9" w:rsidP="008578E9">
      <w:pPr>
        <w:pStyle w:val="a7"/>
        <w:jc w:val="both"/>
        <w:rPr>
          <w:sz w:val="28"/>
          <w:szCs w:val="28"/>
        </w:rPr>
      </w:pPr>
      <w:r w:rsidRPr="008578E9">
        <w:rPr>
          <w:sz w:val="28"/>
          <w:szCs w:val="28"/>
        </w:rPr>
        <w:t>In addition, within the framework of the cooperation, training videos for judges on topical issues related to the selection of preventive measures in the activities of investigating judges were filmed and the development of a manual for investigating judges was started.</w:t>
      </w:r>
    </w:p>
    <w:p w:rsidR="008578E9" w:rsidRPr="008578E9" w:rsidRDefault="008578E9" w:rsidP="00847DB5">
      <w:pPr>
        <w:pStyle w:val="a7"/>
        <w:numPr>
          <w:ilvl w:val="0"/>
          <w:numId w:val="38"/>
        </w:numPr>
        <w:ind w:left="0" w:firstLine="142"/>
        <w:jc w:val="both"/>
        <w:rPr>
          <w:sz w:val="28"/>
          <w:szCs w:val="28"/>
        </w:rPr>
      </w:pPr>
      <w:r w:rsidRPr="008578E9">
        <w:rPr>
          <w:sz w:val="28"/>
          <w:szCs w:val="28"/>
        </w:rPr>
        <w:t>In cooperation with IFES Ukraine, a manual for judges ‘Review of Court Practice in Cases of Administrative and Criminal Liability for Violation of the Rules of Financing Political Parties and Election Campaigns’ was published, and a manual ‘Election Dispute Resolution’ is being developed.</w:t>
      </w:r>
    </w:p>
    <w:p w:rsidR="008578E9" w:rsidRPr="008578E9" w:rsidRDefault="008578E9" w:rsidP="00847DB5">
      <w:pPr>
        <w:pStyle w:val="a7"/>
        <w:numPr>
          <w:ilvl w:val="0"/>
          <w:numId w:val="38"/>
        </w:numPr>
        <w:ind w:left="0" w:firstLine="142"/>
        <w:jc w:val="both"/>
        <w:rPr>
          <w:sz w:val="28"/>
          <w:szCs w:val="28"/>
        </w:rPr>
      </w:pPr>
      <w:r w:rsidRPr="008578E9">
        <w:rPr>
          <w:sz w:val="28"/>
          <w:szCs w:val="28"/>
        </w:rPr>
        <w:t>No less important is the issue of considering cases of cybercrime. The participation of judges in training events was made possible by the CoE and EU project CyberEast: Cybercrime Action for Cyber Resilience in the Eastern Partnership Region’.</w:t>
      </w:r>
    </w:p>
    <w:p w:rsidR="008578E9" w:rsidRPr="008578E9" w:rsidRDefault="008578E9" w:rsidP="00847DB5">
      <w:pPr>
        <w:pStyle w:val="a7"/>
        <w:numPr>
          <w:ilvl w:val="0"/>
          <w:numId w:val="38"/>
        </w:numPr>
        <w:ind w:left="0" w:firstLine="142"/>
        <w:jc w:val="both"/>
        <w:rPr>
          <w:sz w:val="28"/>
          <w:szCs w:val="28"/>
        </w:rPr>
      </w:pPr>
      <w:r w:rsidRPr="008578E9">
        <w:rPr>
          <w:sz w:val="28"/>
          <w:szCs w:val="28"/>
        </w:rPr>
        <w:t>The NSJS cooperates with the NORLAU Probation Project of the Norwegian Rule of Law Mission in Ukraine, with which it has signed a Memorandum of Cooperation to involve Norwegian experts in the development of a training course on probation. A representative of the NSJU is a participant in the training programme ‘Training of Trainers on Probation’.</w:t>
      </w:r>
    </w:p>
    <w:p w:rsidR="008578E9" w:rsidRPr="008578E9" w:rsidRDefault="008578E9" w:rsidP="00847DB5">
      <w:pPr>
        <w:pStyle w:val="a7"/>
        <w:numPr>
          <w:ilvl w:val="0"/>
          <w:numId w:val="38"/>
        </w:numPr>
        <w:ind w:left="0" w:firstLine="142"/>
        <w:jc w:val="both"/>
        <w:rPr>
          <w:sz w:val="28"/>
          <w:szCs w:val="28"/>
        </w:rPr>
      </w:pPr>
      <w:r w:rsidRPr="008578E9">
        <w:rPr>
          <w:sz w:val="28"/>
          <w:szCs w:val="28"/>
        </w:rPr>
        <w:t>Within the framework of the CoE regional project ‘Women's Access to Justice: Implementation of the Istanbul Convention and Other European Standards on Gender Equality in the Eastern Partnership Countries’, a regional online course HELP ‘Women's Access to Justice’ was launched, developed within the framework of the Partnership for Good Governance programme. At the end of the year, the NSSU staff took part in a meeting to discuss the results of the course implementation in the Eastern Partnership countries. Participation in the international conference ‘Women's Access to Justice: Approaching the Ratification and Implementation of the Istanbul Convention’. NSSU faculty members are actively involved in the implementation of a mentoring programme to create a favourable environment for equal opportunities in women's access to justice. In cooperation with the MATRA project ‘Judiciary and Society in Ukraine’, a Ukrainian-Dutch working group has begun to finalise a training on judicial ethics for joint training in pilot courts.</w:t>
      </w:r>
    </w:p>
    <w:p w:rsidR="008578E9" w:rsidRPr="008578E9" w:rsidRDefault="008578E9" w:rsidP="00847DB5">
      <w:pPr>
        <w:pStyle w:val="a7"/>
        <w:numPr>
          <w:ilvl w:val="0"/>
          <w:numId w:val="38"/>
        </w:numPr>
        <w:ind w:left="0" w:firstLine="142"/>
        <w:jc w:val="both"/>
        <w:rPr>
          <w:sz w:val="28"/>
          <w:szCs w:val="28"/>
        </w:rPr>
      </w:pPr>
      <w:r w:rsidRPr="008578E9">
        <w:rPr>
          <w:sz w:val="28"/>
          <w:szCs w:val="28"/>
        </w:rPr>
        <w:t xml:space="preserve">The NSJC continues to actively participate in meetings of the linguistics working group of the European Judicial Training Network (EJTN). It has become a tradition for </w:t>
      </w:r>
      <w:r w:rsidRPr="008578E9">
        <w:rPr>
          <w:sz w:val="28"/>
          <w:szCs w:val="28"/>
        </w:rPr>
        <w:lastRenderedPageBreak/>
        <w:t xml:space="preserve">the NSJU leadership to participate in the EJTN General Assembly, which was held this year jointly with the Centre for </w:t>
      </w:r>
      <w:r>
        <w:rPr>
          <w:sz w:val="28"/>
          <w:szCs w:val="28"/>
        </w:rPr>
        <w:t>Judicial Studies of Portugal. N</w:t>
      </w:r>
      <w:r w:rsidRPr="008578E9">
        <w:rPr>
          <w:sz w:val="28"/>
          <w:szCs w:val="28"/>
        </w:rPr>
        <w:t>S</w:t>
      </w:r>
      <w:r>
        <w:rPr>
          <w:sz w:val="28"/>
          <w:szCs w:val="28"/>
          <w:lang w:val="en-US"/>
        </w:rPr>
        <w:t>J</w:t>
      </w:r>
      <w:r w:rsidRPr="008578E9">
        <w:rPr>
          <w:sz w:val="28"/>
          <w:szCs w:val="28"/>
        </w:rPr>
        <w:t>U employees and judge-trainers took part in a series of EJTN webinars, which were devoted, in particular, to the rights of the defendant and the victim, passenger rights during air travel, gender equality issues, the COVID-19 pandemic and its consequences for refugees and asylum seekers.</w:t>
      </w:r>
    </w:p>
    <w:p w:rsidR="008578E9" w:rsidRPr="00AB7989" w:rsidRDefault="008578E9" w:rsidP="00847DB5">
      <w:pPr>
        <w:pStyle w:val="a7"/>
        <w:numPr>
          <w:ilvl w:val="0"/>
          <w:numId w:val="38"/>
        </w:numPr>
        <w:jc w:val="both"/>
        <w:rPr>
          <w:sz w:val="28"/>
          <w:szCs w:val="28"/>
        </w:rPr>
      </w:pPr>
      <w:r w:rsidRPr="00AB7989">
        <w:rPr>
          <w:sz w:val="28"/>
          <w:szCs w:val="28"/>
        </w:rPr>
        <w:t>The following distance learning courses were launched this year: Council of Europe HELP Programme: ‘Introduction to Article 5. The Right to Liberty and Security of the Person’ (for investigating judges); “Women's Access to Justice”, “Pre-trial Investigation and the ECHR” (for investigating judges), “Training Course for Judges: Combating Hate Speech”.</w:t>
      </w:r>
    </w:p>
    <w:p w:rsidR="008578E9" w:rsidRPr="00AB7989" w:rsidRDefault="008578E9" w:rsidP="00847DB5">
      <w:pPr>
        <w:pStyle w:val="a7"/>
        <w:numPr>
          <w:ilvl w:val="0"/>
          <w:numId w:val="38"/>
        </w:numPr>
        <w:jc w:val="both"/>
        <w:rPr>
          <w:sz w:val="28"/>
          <w:szCs w:val="28"/>
        </w:rPr>
      </w:pPr>
      <w:r w:rsidRPr="00AB7989">
        <w:rPr>
          <w:sz w:val="28"/>
          <w:szCs w:val="28"/>
        </w:rPr>
        <w:t>In total, in cooperation with the ITA projects in 2021, the following activities were carried out:</w:t>
      </w:r>
    </w:p>
    <w:p w:rsidR="008578E9" w:rsidRPr="00AB7989" w:rsidRDefault="008578E9" w:rsidP="00847DB5">
      <w:pPr>
        <w:pStyle w:val="a7"/>
        <w:numPr>
          <w:ilvl w:val="0"/>
          <w:numId w:val="38"/>
        </w:numPr>
        <w:jc w:val="both"/>
        <w:rPr>
          <w:sz w:val="28"/>
          <w:szCs w:val="28"/>
        </w:rPr>
      </w:pPr>
      <w:r w:rsidRPr="00AB7989">
        <w:rPr>
          <w:b/>
          <w:bCs/>
          <w:sz w:val="28"/>
          <w:szCs w:val="28"/>
        </w:rPr>
        <w:t>31</w:t>
      </w:r>
      <w:r w:rsidR="00AB7989">
        <w:rPr>
          <w:b/>
          <w:bCs/>
          <w:sz w:val="28"/>
          <w:szCs w:val="28"/>
          <w:lang w:val="en-US"/>
        </w:rPr>
        <w:t xml:space="preserve"> </w:t>
      </w:r>
      <w:r w:rsidRPr="00AB7989">
        <w:rPr>
          <w:sz w:val="28"/>
          <w:szCs w:val="28"/>
        </w:rPr>
        <w:t>meetings of the groups developing training courses/trainings/webinars/manuals;</w:t>
      </w:r>
    </w:p>
    <w:p w:rsidR="008578E9" w:rsidRPr="00AB7989" w:rsidRDefault="008578E9" w:rsidP="00847DB5">
      <w:pPr>
        <w:pStyle w:val="a7"/>
        <w:numPr>
          <w:ilvl w:val="0"/>
          <w:numId w:val="38"/>
        </w:numPr>
        <w:jc w:val="both"/>
        <w:rPr>
          <w:sz w:val="28"/>
          <w:szCs w:val="28"/>
        </w:rPr>
      </w:pPr>
      <w:r w:rsidRPr="00AB7989">
        <w:rPr>
          <w:sz w:val="28"/>
          <w:szCs w:val="28"/>
        </w:rPr>
        <w:t xml:space="preserve"> </w:t>
      </w:r>
      <w:r w:rsidRPr="00AB7989">
        <w:rPr>
          <w:b/>
          <w:bCs/>
          <w:sz w:val="28"/>
          <w:szCs w:val="28"/>
        </w:rPr>
        <w:t xml:space="preserve">107 </w:t>
      </w:r>
      <w:r w:rsidRPr="00AB7989">
        <w:rPr>
          <w:sz w:val="28"/>
          <w:szCs w:val="28"/>
        </w:rPr>
        <w:t>training events (webinars, trainings for trainers, trainings for judges, court presidents, court staff, employees of territorial offices of the Judicial Protection Service, testing of developed training courses).</w:t>
      </w:r>
    </w:p>
    <w:p w:rsidR="008578E9" w:rsidRPr="00AB7989" w:rsidRDefault="008578E9" w:rsidP="00847DB5">
      <w:pPr>
        <w:pStyle w:val="a7"/>
        <w:numPr>
          <w:ilvl w:val="0"/>
          <w:numId w:val="38"/>
        </w:numPr>
        <w:jc w:val="both"/>
        <w:rPr>
          <w:sz w:val="28"/>
          <w:szCs w:val="28"/>
        </w:rPr>
      </w:pPr>
      <w:r w:rsidRPr="00AB7989">
        <w:rPr>
          <w:sz w:val="28"/>
          <w:szCs w:val="28"/>
        </w:rPr>
        <w:t>The National School of Judges is expanding its cooperation with foreign judicial education institutions.</w:t>
      </w:r>
    </w:p>
    <w:p w:rsidR="008578E9" w:rsidRPr="00AB7989" w:rsidRDefault="008578E9" w:rsidP="00847DB5">
      <w:pPr>
        <w:pStyle w:val="a7"/>
        <w:numPr>
          <w:ilvl w:val="0"/>
          <w:numId w:val="38"/>
        </w:numPr>
        <w:jc w:val="both"/>
        <w:rPr>
          <w:sz w:val="28"/>
          <w:szCs w:val="28"/>
        </w:rPr>
      </w:pPr>
      <w:r w:rsidRPr="00AB7989">
        <w:rPr>
          <w:sz w:val="28"/>
          <w:szCs w:val="28"/>
        </w:rPr>
        <w:t>The NSJS is actively working to support and develop areas of cooperation, expand ties with international organisations, international technical assistance projects, and foreign judicial education institutions through negotiations and meetings with heads, authorised representatives and experts of various organisations, and expert missions that monitor the effectiveness of international technical assistance and develop long-term cooperation plans. In 2021, about 60 meetings were held, including online, with the participation of the rector, vice-rectors, heads of departments and leading specialists of the National School of Economics and Business, which dealt with cooperation issues.</w:t>
      </w:r>
    </w:p>
    <w:p w:rsidR="008578E9" w:rsidRPr="00AB7989" w:rsidRDefault="008578E9" w:rsidP="00AB7989">
      <w:pPr>
        <w:pStyle w:val="a7"/>
        <w:ind w:left="360"/>
        <w:jc w:val="both"/>
        <w:rPr>
          <w:sz w:val="28"/>
          <w:szCs w:val="28"/>
        </w:rPr>
      </w:pPr>
      <w:r w:rsidRPr="00AB7989">
        <w:rPr>
          <w:b/>
          <w:bCs/>
          <w:sz w:val="28"/>
          <w:szCs w:val="28"/>
        </w:rPr>
        <w:t>Employees of the NS</w:t>
      </w:r>
      <w:r w:rsidR="00AB7989" w:rsidRPr="00AB7989">
        <w:rPr>
          <w:b/>
          <w:bCs/>
          <w:sz w:val="28"/>
          <w:szCs w:val="28"/>
          <w:lang w:val="en-US"/>
        </w:rPr>
        <w:t>J</w:t>
      </w:r>
      <w:r w:rsidRPr="00AB7989">
        <w:rPr>
          <w:b/>
          <w:bCs/>
          <w:sz w:val="28"/>
          <w:szCs w:val="28"/>
        </w:rPr>
        <w:t>U's research departments also took part in more than 250 conferences, roundtables, and other scientific events.</w:t>
      </w:r>
    </w:p>
    <w:p w:rsidR="00705C82" w:rsidRDefault="00705C82" w:rsidP="00705C82">
      <w:pPr>
        <w:spacing w:after="0"/>
        <w:ind w:firstLine="709"/>
        <w:contextualSpacing/>
        <w:jc w:val="both"/>
        <w:rPr>
          <w:rFonts w:ascii="Times New Roman" w:hAnsi="Times New Roman" w:cs="Times New Roman"/>
          <w:b/>
          <w:bCs/>
          <w:sz w:val="28"/>
          <w:szCs w:val="28"/>
          <w:lang w:val="uk-UA"/>
        </w:rPr>
      </w:pPr>
    </w:p>
    <w:p w:rsidR="002C1D10" w:rsidRDefault="002C1D10" w:rsidP="00705C82">
      <w:pPr>
        <w:spacing w:after="0"/>
        <w:ind w:firstLine="709"/>
        <w:contextualSpacing/>
        <w:jc w:val="both"/>
        <w:rPr>
          <w:rFonts w:ascii="Times New Roman" w:hAnsi="Times New Roman" w:cs="Times New Roman"/>
          <w:b/>
          <w:bCs/>
          <w:sz w:val="28"/>
          <w:szCs w:val="28"/>
          <w:lang w:val="uk-UA"/>
        </w:rPr>
      </w:pPr>
    </w:p>
    <w:p w:rsidR="00AB7989" w:rsidRPr="00AB7989" w:rsidRDefault="00705C82" w:rsidP="00AB7989">
      <w:pPr>
        <w:pStyle w:val="a7"/>
        <w:jc w:val="center"/>
        <w:rPr>
          <w:sz w:val="28"/>
          <w:szCs w:val="28"/>
        </w:rPr>
      </w:pPr>
      <w:r w:rsidRPr="00AB7989">
        <w:rPr>
          <w:b/>
          <w:bCs/>
          <w:sz w:val="28"/>
          <w:szCs w:val="28"/>
        </w:rPr>
        <w:t xml:space="preserve">VIII. </w:t>
      </w:r>
      <w:r w:rsidR="00AB7989" w:rsidRPr="00AB7989">
        <w:rPr>
          <w:b/>
          <w:bCs/>
          <w:sz w:val="28"/>
          <w:szCs w:val="28"/>
        </w:rPr>
        <w:t>INFORMATION SUPPORT OF ACTIVITIES</w:t>
      </w:r>
    </w:p>
    <w:p w:rsidR="00705C82" w:rsidRPr="00AF7B89" w:rsidRDefault="00705C82" w:rsidP="00705C82">
      <w:pPr>
        <w:contextualSpacing/>
        <w:jc w:val="center"/>
        <w:rPr>
          <w:rFonts w:ascii="Times New Roman" w:hAnsi="Times New Roman" w:cs="Times New Roman"/>
          <w:b/>
          <w:bCs/>
          <w:sz w:val="12"/>
          <w:szCs w:val="12"/>
          <w:lang w:val="uk-UA"/>
        </w:rPr>
      </w:pPr>
    </w:p>
    <w:p w:rsidR="00AB7989" w:rsidRPr="00AB7989" w:rsidRDefault="00AB7989" w:rsidP="00AB7989">
      <w:pPr>
        <w:pStyle w:val="a7"/>
        <w:ind w:firstLine="708"/>
        <w:jc w:val="both"/>
        <w:rPr>
          <w:sz w:val="28"/>
          <w:szCs w:val="28"/>
        </w:rPr>
      </w:pPr>
      <w:r w:rsidRPr="00AB7989">
        <w:rPr>
          <w:sz w:val="28"/>
          <w:szCs w:val="28"/>
        </w:rPr>
        <w:t>In 2021, information support for the activities of the National School of Judges was carried out taking into account the further development of communication technologies, improvement of forms and deepening of the content of judicial training, and introduction of modern information technologies into the educational process.</w:t>
      </w:r>
    </w:p>
    <w:p w:rsidR="00AB7989" w:rsidRPr="00AB7989" w:rsidRDefault="00AB7989" w:rsidP="00AB7989">
      <w:pPr>
        <w:pStyle w:val="a7"/>
        <w:jc w:val="both"/>
        <w:rPr>
          <w:sz w:val="28"/>
          <w:szCs w:val="28"/>
        </w:rPr>
      </w:pPr>
      <w:r w:rsidRPr="00AB7989">
        <w:rPr>
          <w:sz w:val="28"/>
          <w:szCs w:val="28"/>
        </w:rPr>
        <w:lastRenderedPageBreak/>
        <w:t>Given the quarantine restrictions, the information policy of the National School of Judges during this period focused on covering distance learning activities aimed at developing training courses for future special training, and was driven by the growing public and media attention to the institution's activities in connection with the online training of judges of the Supreme Court and the High Anti-Corruption Court of Ukraine.</w:t>
      </w:r>
    </w:p>
    <w:p w:rsidR="00AB7989" w:rsidRPr="00AB7989" w:rsidRDefault="00AB7989" w:rsidP="00AB7989">
      <w:pPr>
        <w:pStyle w:val="a7"/>
        <w:jc w:val="both"/>
        <w:rPr>
          <w:sz w:val="28"/>
          <w:szCs w:val="28"/>
        </w:rPr>
      </w:pPr>
      <w:r w:rsidRPr="00AB7989">
        <w:rPr>
          <w:sz w:val="28"/>
          <w:szCs w:val="28"/>
        </w:rPr>
        <w:t>At the same time, there was a significant increase in the number of information products. Thus, in 2021, the official website of the National School of Judges published more than 4,000 news items on judicial training, special training of judicial candidates, training of court staff, innovations in the institution's activities, events involving the leadership of the National School of Judges, important facts and materials on judicial education and qualifications. The sections ‘To Help the Teacher (Trainer)’, ‘Diary of Special Training of Judicial Candidates’, and ‘Plan of Main Events of the National School of Judges of Ukraine’ for the current week have become permanent.</w:t>
      </w:r>
    </w:p>
    <w:p w:rsidR="00AB7989" w:rsidRPr="00AB7989" w:rsidRDefault="00AB7989" w:rsidP="00AB7989">
      <w:pPr>
        <w:pStyle w:val="a7"/>
        <w:jc w:val="both"/>
        <w:rPr>
          <w:sz w:val="28"/>
          <w:szCs w:val="28"/>
        </w:rPr>
      </w:pPr>
      <w:r w:rsidRPr="00AB7989">
        <w:rPr>
          <w:sz w:val="28"/>
          <w:szCs w:val="28"/>
        </w:rPr>
        <w:t>In cooperation with the media, in particular with well-known professional legal publications, the NSJU systematically informs the public about the most relevant news in judicial education, and prepares interesting analytical materials and interviews on topical issues. The forms of information presentation are constantly being improved and the sections of the NSJC website are being modernised, which makes the news more interesting and useful for users.</w:t>
      </w:r>
    </w:p>
    <w:p w:rsidR="00AB7989" w:rsidRPr="00AB7989" w:rsidRDefault="00AB7989" w:rsidP="00AB7989">
      <w:pPr>
        <w:pStyle w:val="a7"/>
        <w:jc w:val="both"/>
        <w:rPr>
          <w:sz w:val="28"/>
          <w:szCs w:val="28"/>
        </w:rPr>
      </w:pPr>
      <w:r w:rsidRPr="00AB7989">
        <w:rPr>
          <w:sz w:val="28"/>
          <w:szCs w:val="28"/>
        </w:rPr>
        <w:t>It is worth noting that the official Facebook page of the National School of Judges continues to develop as an alternative source of information, which allows to keep track of the most relevant events in the field of judicial training. Over a year of operation, more than 5,000 posts were made on Facebook. Today, the NSJU webpage serves as a platform for dialogue with stakeholders and prompt feedback from the readership, which currently has more than 6,000 regular users and reaches up to 35,000 readers per month. The number of ‘likes’ of materials posted on the social network has already exceeded 5,000.</w:t>
      </w:r>
    </w:p>
    <w:p w:rsidR="00AB7989" w:rsidRPr="00AB7989" w:rsidRDefault="00AB7989" w:rsidP="00AB7989">
      <w:pPr>
        <w:pStyle w:val="a7"/>
        <w:jc w:val="both"/>
        <w:rPr>
          <w:sz w:val="28"/>
          <w:szCs w:val="28"/>
        </w:rPr>
      </w:pPr>
      <w:r w:rsidRPr="00AB7989">
        <w:rPr>
          <w:sz w:val="28"/>
          <w:szCs w:val="28"/>
        </w:rPr>
        <w:t>The NSSU YouTube channel is actively developing, where videos and TV programmes about the activities of the NSSU, the work of its management and departmental staff are published. Thus, online broadcasts of certain training events have already become traditional, a library of training videos is gradually being formed, and new initiatives in this area are being prepared.</w:t>
      </w:r>
    </w:p>
    <w:p w:rsidR="00AB7989" w:rsidRPr="00AB7989" w:rsidRDefault="00AB7989" w:rsidP="00AB7989">
      <w:pPr>
        <w:pStyle w:val="a7"/>
        <w:jc w:val="both"/>
        <w:rPr>
          <w:sz w:val="28"/>
          <w:szCs w:val="28"/>
        </w:rPr>
      </w:pPr>
      <w:r w:rsidRPr="00AB7989">
        <w:rPr>
          <w:sz w:val="28"/>
          <w:szCs w:val="28"/>
        </w:rPr>
        <w:t>Among the promising areas of the NSSU is the work on creating its own TV channel, which will broadcast topical programmes and/or interviews with interesting personalities.</w:t>
      </w:r>
    </w:p>
    <w:p w:rsidR="00AB7989" w:rsidRPr="00AB7989" w:rsidRDefault="00AB7989" w:rsidP="00AB7989">
      <w:pPr>
        <w:pStyle w:val="a7"/>
        <w:jc w:val="both"/>
        <w:rPr>
          <w:sz w:val="28"/>
          <w:szCs w:val="28"/>
        </w:rPr>
      </w:pPr>
      <w:r w:rsidRPr="00AB7989">
        <w:rPr>
          <w:sz w:val="28"/>
          <w:szCs w:val="28"/>
        </w:rPr>
        <w:lastRenderedPageBreak/>
        <w:t>It should also be noted that for the fourth year in a row, the School's central office has been successfully operating an information board that broadcasts information about the latest events and activities in the field of judicial education.</w:t>
      </w:r>
    </w:p>
    <w:p w:rsidR="00AB7989" w:rsidRPr="00AB7989" w:rsidRDefault="00AB7989" w:rsidP="00AB7989">
      <w:pPr>
        <w:pStyle w:val="a7"/>
        <w:jc w:val="both"/>
        <w:rPr>
          <w:sz w:val="28"/>
          <w:szCs w:val="28"/>
        </w:rPr>
      </w:pPr>
      <w:r w:rsidRPr="00AB7989">
        <w:rPr>
          <w:sz w:val="28"/>
          <w:szCs w:val="28"/>
        </w:rPr>
        <w:t>In the context of quarantine restrictions related to the pandemic, the importance of distance learning, scientific and methodological work in the form of video conferences, seminars, etc. is constantly growing.</w:t>
      </w:r>
    </w:p>
    <w:p w:rsidR="00AB7989" w:rsidRPr="00AB7989" w:rsidRDefault="00AB7989" w:rsidP="00AB7989">
      <w:pPr>
        <w:pStyle w:val="a7"/>
        <w:jc w:val="both"/>
        <w:rPr>
          <w:sz w:val="28"/>
          <w:szCs w:val="28"/>
        </w:rPr>
      </w:pPr>
      <w:r w:rsidRPr="00AB7989">
        <w:rPr>
          <w:sz w:val="28"/>
          <w:szCs w:val="28"/>
        </w:rPr>
        <w:t>In view of the above, the work of the Information Technology Department of the National School of Judges and Lawyers of Ukraine in the reporting period was aimed at providing technical support for the distance learning platform, creating and configuring distance learning courses, and maintaining the information system in working order in general.</w:t>
      </w:r>
    </w:p>
    <w:p w:rsidR="00AB7989" w:rsidRPr="00AB7989" w:rsidRDefault="00AB7989" w:rsidP="00AB7989">
      <w:pPr>
        <w:pStyle w:val="a7"/>
        <w:jc w:val="both"/>
        <w:rPr>
          <w:sz w:val="28"/>
          <w:szCs w:val="28"/>
        </w:rPr>
      </w:pPr>
      <w:r w:rsidRPr="00AB7989">
        <w:rPr>
          <w:sz w:val="28"/>
          <w:szCs w:val="28"/>
        </w:rPr>
        <w:t>In particular, the existing IT infrastructure was analysed and the load on the local network was optimised. Based on the data obtained, we systematically replaced computer and office equipment, updated software, implemented the latest technologies, and monitored and prevented critical errors.</w:t>
      </w:r>
    </w:p>
    <w:p w:rsidR="00AB7989" w:rsidRPr="00AB7989" w:rsidRDefault="00AB7989" w:rsidP="00AB7989">
      <w:pPr>
        <w:pStyle w:val="a7"/>
        <w:jc w:val="both"/>
        <w:rPr>
          <w:sz w:val="28"/>
          <w:szCs w:val="28"/>
        </w:rPr>
      </w:pPr>
      <w:r w:rsidRPr="00AB7989">
        <w:rPr>
          <w:sz w:val="28"/>
          <w:szCs w:val="28"/>
        </w:rPr>
        <w:t>A separate important area of the department's activity was to ensure the operation of a comprehensive information security system in the NSSU ITS, as well as the prevention and detection of cyber threats, the purchase and implementation of anti-virus software.</w:t>
      </w:r>
    </w:p>
    <w:p w:rsidR="00AB7989" w:rsidRPr="00AB7989" w:rsidRDefault="00AB7989" w:rsidP="00AB7989">
      <w:pPr>
        <w:pStyle w:val="a7"/>
        <w:jc w:val="both"/>
        <w:rPr>
          <w:sz w:val="28"/>
          <w:szCs w:val="28"/>
        </w:rPr>
      </w:pPr>
      <w:r w:rsidRPr="00AB7989">
        <w:rPr>
          <w:sz w:val="28"/>
          <w:szCs w:val="28"/>
        </w:rPr>
        <w:t>The aforementioned measures allowed us to ensure reliable systematic maintenance and information content of the official website of the National School of Social Sciences of Ukraine, as well as technical support for all online events throughout the year.</w:t>
      </w:r>
    </w:p>
    <w:p w:rsidR="00705C82" w:rsidRPr="00AB7989" w:rsidRDefault="00705C82" w:rsidP="00AB7989">
      <w:pPr>
        <w:spacing w:after="0"/>
        <w:jc w:val="both"/>
        <w:rPr>
          <w:rFonts w:ascii="Times New Roman" w:hAnsi="Times New Roman" w:cs="Times New Roman"/>
          <w:sz w:val="28"/>
          <w:szCs w:val="28"/>
          <w:lang w:val="uk-UA"/>
        </w:rPr>
      </w:pPr>
    </w:p>
    <w:p w:rsidR="00B708E5" w:rsidRDefault="00705C82" w:rsidP="0038186A">
      <w:pPr>
        <w:pStyle w:val="a7"/>
        <w:spacing w:before="0" w:beforeAutospacing="0"/>
        <w:jc w:val="center"/>
        <w:rPr>
          <w:b/>
          <w:bCs/>
          <w:sz w:val="28"/>
          <w:szCs w:val="28"/>
        </w:rPr>
      </w:pPr>
      <w:r w:rsidRPr="009B3DC5">
        <w:rPr>
          <w:b/>
          <w:sz w:val="28"/>
          <w:szCs w:val="28"/>
        </w:rPr>
        <w:t xml:space="preserve">ІХ. </w:t>
      </w:r>
      <w:r w:rsidR="00B708E5" w:rsidRPr="00B708E5">
        <w:rPr>
          <w:b/>
          <w:bCs/>
          <w:sz w:val="28"/>
          <w:szCs w:val="28"/>
        </w:rPr>
        <w:t>ORGANISATIONAL, FINANCIAL AND ECONOMIC</w:t>
      </w:r>
    </w:p>
    <w:p w:rsidR="00B708E5" w:rsidRPr="0038186A" w:rsidRDefault="00B708E5" w:rsidP="0038186A">
      <w:pPr>
        <w:pStyle w:val="a7"/>
        <w:spacing w:before="0" w:beforeAutospacing="0"/>
        <w:jc w:val="center"/>
        <w:rPr>
          <w:sz w:val="28"/>
          <w:szCs w:val="28"/>
        </w:rPr>
      </w:pPr>
      <w:r w:rsidRPr="0038186A">
        <w:rPr>
          <w:b/>
          <w:bCs/>
          <w:sz w:val="28"/>
          <w:szCs w:val="28"/>
        </w:rPr>
        <w:t>SUPPORT OF THE BUSINESS</w:t>
      </w:r>
    </w:p>
    <w:p w:rsidR="00B708E5" w:rsidRPr="0038186A" w:rsidRDefault="00B708E5" w:rsidP="0038186A">
      <w:pPr>
        <w:pStyle w:val="a7"/>
        <w:jc w:val="both"/>
        <w:rPr>
          <w:sz w:val="28"/>
          <w:szCs w:val="28"/>
        </w:rPr>
      </w:pPr>
      <w:r w:rsidRPr="0038186A">
        <w:rPr>
          <w:sz w:val="28"/>
          <w:szCs w:val="28"/>
        </w:rPr>
        <w:t>During the reporting period, the NS</w:t>
      </w:r>
      <w:r w:rsidRPr="0038186A">
        <w:rPr>
          <w:sz w:val="28"/>
          <w:szCs w:val="28"/>
          <w:lang w:val="en-US"/>
        </w:rPr>
        <w:t>J</w:t>
      </w:r>
      <w:r w:rsidRPr="0038186A">
        <w:rPr>
          <w:sz w:val="28"/>
          <w:szCs w:val="28"/>
        </w:rPr>
        <w:t xml:space="preserve">U processed </w:t>
      </w:r>
      <w:r w:rsidRPr="0038186A">
        <w:rPr>
          <w:b/>
          <w:bCs/>
          <w:sz w:val="28"/>
          <w:szCs w:val="28"/>
        </w:rPr>
        <w:t>7755</w:t>
      </w:r>
      <w:r w:rsidRPr="0038186A">
        <w:rPr>
          <w:sz w:val="28"/>
          <w:szCs w:val="28"/>
        </w:rPr>
        <w:t xml:space="preserve"> documents, including: incoming letters and other documents - </w:t>
      </w:r>
      <w:r w:rsidRPr="0038186A">
        <w:rPr>
          <w:b/>
          <w:bCs/>
          <w:sz w:val="28"/>
          <w:szCs w:val="28"/>
        </w:rPr>
        <w:t>1711</w:t>
      </w:r>
      <w:r w:rsidRPr="0038186A">
        <w:rPr>
          <w:sz w:val="28"/>
          <w:szCs w:val="28"/>
        </w:rPr>
        <w:t xml:space="preserve">, outgoing letters - </w:t>
      </w:r>
      <w:r w:rsidRPr="0038186A">
        <w:rPr>
          <w:b/>
          <w:bCs/>
          <w:sz w:val="28"/>
          <w:szCs w:val="28"/>
        </w:rPr>
        <w:t>2686</w:t>
      </w:r>
      <w:r w:rsidRPr="0038186A">
        <w:rPr>
          <w:sz w:val="28"/>
          <w:szCs w:val="28"/>
        </w:rPr>
        <w:t xml:space="preserve">, instructions from the Rector and Vice-Rectors - </w:t>
      </w:r>
      <w:r w:rsidRPr="0038186A">
        <w:rPr>
          <w:b/>
          <w:bCs/>
          <w:sz w:val="28"/>
          <w:szCs w:val="28"/>
        </w:rPr>
        <w:t>24</w:t>
      </w:r>
      <w:r w:rsidRPr="0038186A">
        <w:rPr>
          <w:sz w:val="28"/>
          <w:szCs w:val="28"/>
        </w:rPr>
        <w:t xml:space="preserve">, outgoing registers - </w:t>
      </w:r>
      <w:r w:rsidRPr="0038186A">
        <w:rPr>
          <w:b/>
          <w:bCs/>
          <w:sz w:val="28"/>
          <w:szCs w:val="28"/>
        </w:rPr>
        <w:t>69</w:t>
      </w:r>
      <w:r w:rsidRPr="0038186A">
        <w:rPr>
          <w:sz w:val="28"/>
          <w:szCs w:val="28"/>
        </w:rPr>
        <w:t xml:space="preserve">, incoming registers - </w:t>
      </w:r>
      <w:r w:rsidRPr="0038186A">
        <w:rPr>
          <w:b/>
          <w:bCs/>
          <w:sz w:val="28"/>
          <w:szCs w:val="28"/>
        </w:rPr>
        <w:t>310</w:t>
      </w:r>
      <w:r w:rsidRPr="0038186A">
        <w:rPr>
          <w:sz w:val="28"/>
          <w:szCs w:val="28"/>
        </w:rPr>
        <w:t xml:space="preserve">, memos - </w:t>
      </w:r>
      <w:r w:rsidRPr="0038186A">
        <w:rPr>
          <w:b/>
          <w:bCs/>
          <w:sz w:val="28"/>
          <w:szCs w:val="28"/>
        </w:rPr>
        <w:t>808</w:t>
      </w:r>
      <w:r w:rsidRPr="0038186A">
        <w:rPr>
          <w:sz w:val="28"/>
          <w:szCs w:val="28"/>
        </w:rPr>
        <w:t xml:space="preserve">, requests for information and appeals from citizens - </w:t>
      </w:r>
      <w:r w:rsidRPr="0038186A">
        <w:rPr>
          <w:b/>
          <w:bCs/>
          <w:sz w:val="28"/>
          <w:szCs w:val="28"/>
        </w:rPr>
        <w:t>84</w:t>
      </w:r>
      <w:r w:rsidRPr="0038186A">
        <w:rPr>
          <w:sz w:val="28"/>
          <w:szCs w:val="28"/>
        </w:rPr>
        <w:t xml:space="preserve">. In 2021, </w:t>
      </w:r>
      <w:r w:rsidRPr="0038186A">
        <w:rPr>
          <w:b/>
          <w:bCs/>
          <w:sz w:val="28"/>
          <w:szCs w:val="28"/>
        </w:rPr>
        <w:t>1460</w:t>
      </w:r>
      <w:r w:rsidRPr="0038186A">
        <w:rPr>
          <w:sz w:val="28"/>
          <w:szCs w:val="28"/>
        </w:rPr>
        <w:t xml:space="preserve"> orders on core activities and administrative and economic issues were registered, checked and edited, and </w:t>
      </w:r>
      <w:r w:rsidRPr="0038186A">
        <w:rPr>
          <w:b/>
          <w:bCs/>
          <w:sz w:val="28"/>
          <w:szCs w:val="28"/>
        </w:rPr>
        <w:t>603</w:t>
      </w:r>
      <w:r w:rsidRPr="0038186A">
        <w:rPr>
          <w:sz w:val="28"/>
          <w:szCs w:val="28"/>
        </w:rPr>
        <w:t xml:space="preserve"> information was published on the institution's website. The NBU took </w:t>
      </w:r>
      <w:r w:rsidRPr="0038186A">
        <w:rPr>
          <w:b/>
          <w:bCs/>
          <w:sz w:val="28"/>
          <w:szCs w:val="28"/>
        </w:rPr>
        <w:t>309</w:t>
      </w:r>
      <w:r w:rsidRPr="0038186A">
        <w:rPr>
          <w:sz w:val="28"/>
          <w:szCs w:val="28"/>
        </w:rPr>
        <w:t xml:space="preserve"> incoming documents under control and removed </w:t>
      </w:r>
      <w:r w:rsidRPr="0038186A">
        <w:rPr>
          <w:b/>
          <w:bCs/>
          <w:sz w:val="28"/>
          <w:szCs w:val="28"/>
        </w:rPr>
        <w:t>303</w:t>
      </w:r>
      <w:r w:rsidRPr="0038186A">
        <w:rPr>
          <w:sz w:val="28"/>
          <w:szCs w:val="28"/>
        </w:rPr>
        <w:t xml:space="preserve"> from control due to their execution.</w:t>
      </w:r>
    </w:p>
    <w:p w:rsidR="00B708E5" w:rsidRPr="0038186A" w:rsidRDefault="00B708E5" w:rsidP="0038186A">
      <w:pPr>
        <w:pStyle w:val="a7"/>
        <w:jc w:val="both"/>
        <w:rPr>
          <w:sz w:val="28"/>
          <w:szCs w:val="28"/>
        </w:rPr>
      </w:pPr>
      <w:r w:rsidRPr="0038186A">
        <w:rPr>
          <w:sz w:val="28"/>
          <w:szCs w:val="28"/>
        </w:rPr>
        <w:t xml:space="preserve">Work was carried out with the archival documents of the NSSU - an inventory of permanent storage files in the amount of </w:t>
      </w:r>
      <w:r w:rsidRPr="0038186A">
        <w:rPr>
          <w:b/>
          <w:bCs/>
          <w:sz w:val="28"/>
          <w:szCs w:val="28"/>
        </w:rPr>
        <w:t>111</w:t>
      </w:r>
      <w:r w:rsidRPr="0038186A">
        <w:rPr>
          <w:sz w:val="28"/>
          <w:szCs w:val="28"/>
        </w:rPr>
        <w:t xml:space="preserve"> files, an inventory of personnel files in </w:t>
      </w:r>
      <w:r w:rsidRPr="0038186A">
        <w:rPr>
          <w:sz w:val="28"/>
          <w:szCs w:val="28"/>
        </w:rPr>
        <w:lastRenderedPageBreak/>
        <w:t xml:space="preserve">the amount of </w:t>
      </w:r>
      <w:r w:rsidRPr="0038186A">
        <w:rPr>
          <w:b/>
          <w:bCs/>
          <w:sz w:val="28"/>
          <w:szCs w:val="28"/>
        </w:rPr>
        <w:t>69</w:t>
      </w:r>
      <w:r w:rsidRPr="0038186A">
        <w:rPr>
          <w:sz w:val="28"/>
          <w:szCs w:val="28"/>
        </w:rPr>
        <w:t xml:space="preserve"> files, and an act of withdrawal for destruction of documents not included in the National Archival Fond for 2016-2018 were drawn up. The documents were approved at the meeting of the Commission for Examination of Documents Value, agreed at the meeting of the EPC of the Central State Administrative Committee of Ukraine and approved by the Rector. The title pages and certifying inscriptions of the files were prepared. The NSSU Work Plan and the Consolidated Nomenclature of NSSU cases for 2022 were prepared and approved.</w:t>
      </w:r>
    </w:p>
    <w:p w:rsidR="00B708E5" w:rsidRPr="0038186A" w:rsidRDefault="00B708E5" w:rsidP="0038186A">
      <w:pPr>
        <w:pStyle w:val="a7"/>
        <w:jc w:val="both"/>
        <w:rPr>
          <w:sz w:val="28"/>
          <w:szCs w:val="28"/>
        </w:rPr>
      </w:pPr>
      <w:r w:rsidRPr="0038186A">
        <w:rPr>
          <w:b/>
          <w:bCs/>
          <w:sz w:val="28"/>
          <w:szCs w:val="28"/>
        </w:rPr>
        <w:t>53</w:t>
      </w:r>
      <w:r w:rsidRPr="0038186A">
        <w:rPr>
          <w:sz w:val="28"/>
          <w:szCs w:val="28"/>
        </w:rPr>
        <w:t xml:space="preserve"> Action Plans of the NSSU, </w:t>
      </w:r>
      <w:r w:rsidRPr="0038186A">
        <w:rPr>
          <w:b/>
          <w:bCs/>
          <w:sz w:val="28"/>
          <w:szCs w:val="28"/>
        </w:rPr>
        <w:t>10</w:t>
      </w:r>
      <w:r w:rsidRPr="0038186A">
        <w:rPr>
          <w:sz w:val="28"/>
          <w:szCs w:val="28"/>
        </w:rPr>
        <w:t xml:space="preserve"> orders were prepared, and the Information and Analytical Report on the NS</w:t>
      </w:r>
      <w:r w:rsidRPr="0038186A">
        <w:rPr>
          <w:sz w:val="28"/>
          <w:szCs w:val="28"/>
          <w:lang w:val="en-US"/>
        </w:rPr>
        <w:t>J</w:t>
      </w:r>
      <w:r w:rsidRPr="0038186A">
        <w:rPr>
          <w:sz w:val="28"/>
          <w:szCs w:val="28"/>
        </w:rPr>
        <w:t>U 's activities in 2020, Information on the NS</w:t>
      </w:r>
      <w:r w:rsidRPr="0038186A">
        <w:rPr>
          <w:sz w:val="28"/>
          <w:szCs w:val="28"/>
          <w:lang w:val="en-US"/>
        </w:rPr>
        <w:t>J</w:t>
      </w:r>
      <w:r w:rsidRPr="0038186A">
        <w:rPr>
          <w:sz w:val="28"/>
          <w:szCs w:val="28"/>
        </w:rPr>
        <w:t xml:space="preserve">U 's activities in the 1st half of 2021, and the Information and Analytical Report on the NSSU's activities in 2021 were summarised. Greetings were prepared and sent to over </w:t>
      </w:r>
      <w:r w:rsidRPr="0038186A">
        <w:rPr>
          <w:b/>
          <w:bCs/>
          <w:sz w:val="28"/>
          <w:szCs w:val="28"/>
        </w:rPr>
        <w:t>1370</w:t>
      </w:r>
      <w:r w:rsidRPr="0038186A">
        <w:rPr>
          <w:sz w:val="28"/>
          <w:szCs w:val="28"/>
        </w:rPr>
        <w:t xml:space="preserve"> recipients. Documents were sent by courier and mail.</w:t>
      </w:r>
    </w:p>
    <w:p w:rsidR="00B708E5" w:rsidRPr="0038186A" w:rsidRDefault="00B708E5" w:rsidP="0038186A">
      <w:pPr>
        <w:pStyle w:val="a7"/>
        <w:jc w:val="both"/>
        <w:rPr>
          <w:sz w:val="28"/>
          <w:szCs w:val="28"/>
        </w:rPr>
      </w:pPr>
      <w:r w:rsidRPr="0038186A">
        <w:rPr>
          <w:sz w:val="28"/>
          <w:szCs w:val="28"/>
        </w:rPr>
        <w:t>In 2021, the activities of the Legal Department were aimed at ensuring the organisational and research and teaching activities of the NSPS by preparing and concluding civil and commercial contracts, including through the ProZorro electronic system, cooperation agreements, conducting legal expertise of draft orders, etc.</w:t>
      </w:r>
    </w:p>
    <w:p w:rsidR="00B708E5" w:rsidRPr="0038186A" w:rsidRDefault="00B708E5" w:rsidP="0038186A">
      <w:pPr>
        <w:pStyle w:val="a7"/>
        <w:jc w:val="both"/>
        <w:rPr>
          <w:sz w:val="28"/>
          <w:szCs w:val="28"/>
        </w:rPr>
      </w:pPr>
      <w:r w:rsidRPr="0038186A">
        <w:rPr>
          <w:sz w:val="28"/>
          <w:szCs w:val="28"/>
        </w:rPr>
        <w:t xml:space="preserve">Thus, in the first half of 2021 alone, </w:t>
      </w:r>
      <w:r w:rsidRPr="0038186A">
        <w:rPr>
          <w:b/>
          <w:bCs/>
          <w:sz w:val="28"/>
          <w:szCs w:val="28"/>
        </w:rPr>
        <w:t xml:space="preserve">115 </w:t>
      </w:r>
      <w:r w:rsidRPr="0038186A">
        <w:rPr>
          <w:sz w:val="28"/>
          <w:szCs w:val="28"/>
        </w:rPr>
        <w:t xml:space="preserve">meetings of the tender committee, </w:t>
      </w:r>
      <w:r w:rsidRPr="0038186A">
        <w:rPr>
          <w:b/>
          <w:bCs/>
          <w:sz w:val="28"/>
          <w:szCs w:val="28"/>
        </w:rPr>
        <w:t>24</w:t>
      </w:r>
      <w:r w:rsidRPr="0038186A">
        <w:rPr>
          <w:sz w:val="28"/>
          <w:szCs w:val="28"/>
        </w:rPr>
        <w:t xml:space="preserve"> tender procedures and </w:t>
      </w:r>
      <w:r w:rsidRPr="0038186A">
        <w:rPr>
          <w:b/>
          <w:bCs/>
          <w:sz w:val="28"/>
          <w:szCs w:val="28"/>
        </w:rPr>
        <w:t>171</w:t>
      </w:r>
      <w:r w:rsidRPr="0038186A">
        <w:rPr>
          <w:sz w:val="28"/>
          <w:szCs w:val="28"/>
        </w:rPr>
        <w:t xml:space="preserve"> public procurement procedures were held through the ProZorro electronic system. Accordingly, during the year, </w:t>
      </w:r>
      <w:r w:rsidRPr="0038186A">
        <w:rPr>
          <w:b/>
          <w:bCs/>
          <w:sz w:val="28"/>
          <w:szCs w:val="28"/>
        </w:rPr>
        <w:t>232</w:t>
      </w:r>
      <w:r w:rsidRPr="0038186A">
        <w:rPr>
          <w:sz w:val="28"/>
          <w:szCs w:val="28"/>
        </w:rPr>
        <w:t xml:space="preserve"> contracts on economic issues and </w:t>
      </w:r>
      <w:r w:rsidRPr="0038186A">
        <w:rPr>
          <w:b/>
          <w:bCs/>
          <w:sz w:val="28"/>
          <w:szCs w:val="28"/>
        </w:rPr>
        <w:t>58</w:t>
      </w:r>
      <w:r w:rsidRPr="0038186A">
        <w:rPr>
          <w:sz w:val="28"/>
          <w:szCs w:val="28"/>
        </w:rPr>
        <w:t xml:space="preserve"> additional agreements to them were concluded, as well as </w:t>
      </w:r>
      <w:r w:rsidRPr="0038186A">
        <w:rPr>
          <w:b/>
          <w:bCs/>
          <w:sz w:val="28"/>
          <w:szCs w:val="28"/>
        </w:rPr>
        <w:t>1783</w:t>
      </w:r>
      <w:r w:rsidRPr="0038186A">
        <w:rPr>
          <w:sz w:val="28"/>
          <w:szCs w:val="28"/>
        </w:rPr>
        <w:t xml:space="preserve"> civil law contracts for the engagement of judges and other persons in teaching activities.</w:t>
      </w:r>
    </w:p>
    <w:p w:rsidR="00B708E5" w:rsidRPr="0038186A" w:rsidRDefault="00B708E5" w:rsidP="0038186A">
      <w:pPr>
        <w:pStyle w:val="a7"/>
        <w:jc w:val="both"/>
        <w:rPr>
          <w:sz w:val="28"/>
          <w:szCs w:val="28"/>
        </w:rPr>
      </w:pPr>
      <w:r w:rsidRPr="0038186A">
        <w:rPr>
          <w:b/>
          <w:bCs/>
          <w:sz w:val="28"/>
          <w:szCs w:val="28"/>
        </w:rPr>
        <w:t>During the reporting period, 2259 draft orders were reviewed for compliance with current legislation.</w:t>
      </w:r>
    </w:p>
    <w:p w:rsidR="00B708E5" w:rsidRPr="0038186A" w:rsidRDefault="00B708E5" w:rsidP="0038186A">
      <w:pPr>
        <w:pStyle w:val="a7"/>
        <w:jc w:val="both"/>
        <w:rPr>
          <w:sz w:val="28"/>
          <w:szCs w:val="28"/>
        </w:rPr>
      </w:pPr>
      <w:r w:rsidRPr="0038186A">
        <w:rPr>
          <w:sz w:val="28"/>
          <w:szCs w:val="28"/>
        </w:rPr>
        <w:t xml:space="preserve">In 2021, </w:t>
      </w:r>
      <w:r w:rsidRPr="0038186A">
        <w:rPr>
          <w:b/>
          <w:bCs/>
          <w:sz w:val="28"/>
          <w:szCs w:val="28"/>
        </w:rPr>
        <w:t>4</w:t>
      </w:r>
      <w:r w:rsidRPr="0038186A">
        <w:rPr>
          <w:sz w:val="28"/>
          <w:szCs w:val="28"/>
        </w:rPr>
        <w:t xml:space="preserve"> memorandums of bilateral cooperation were signed to implement joint projects in the field of professional training and advanced training of judges and court staff, research, and exchange of experience and information.</w:t>
      </w:r>
    </w:p>
    <w:p w:rsidR="00B708E5" w:rsidRPr="0038186A" w:rsidRDefault="00B708E5" w:rsidP="0038186A">
      <w:pPr>
        <w:pStyle w:val="a7"/>
        <w:jc w:val="both"/>
        <w:rPr>
          <w:sz w:val="28"/>
          <w:szCs w:val="28"/>
        </w:rPr>
      </w:pPr>
      <w:r w:rsidRPr="0038186A">
        <w:rPr>
          <w:sz w:val="28"/>
          <w:szCs w:val="28"/>
        </w:rPr>
        <w:t xml:space="preserve">In addition, the Legal Department represented the interests of the National School of Judges in </w:t>
      </w:r>
      <w:r w:rsidRPr="0038186A">
        <w:rPr>
          <w:b/>
          <w:bCs/>
          <w:sz w:val="28"/>
          <w:szCs w:val="28"/>
        </w:rPr>
        <w:t>4</w:t>
      </w:r>
      <w:r w:rsidRPr="0038186A">
        <w:rPr>
          <w:sz w:val="28"/>
          <w:szCs w:val="28"/>
        </w:rPr>
        <w:t xml:space="preserve"> court proceedings.</w:t>
      </w:r>
    </w:p>
    <w:p w:rsidR="00B708E5" w:rsidRPr="0038186A" w:rsidRDefault="00B708E5" w:rsidP="0038186A">
      <w:pPr>
        <w:pStyle w:val="a7"/>
        <w:jc w:val="both"/>
        <w:rPr>
          <w:sz w:val="28"/>
          <w:szCs w:val="28"/>
        </w:rPr>
      </w:pPr>
      <w:r w:rsidRPr="0038186A">
        <w:rPr>
          <w:sz w:val="28"/>
          <w:szCs w:val="28"/>
        </w:rPr>
        <w:t xml:space="preserve">In 2021, the Law of Ukraine ‘On the State Budget of Ukraine for 2021’ </w:t>
      </w:r>
      <w:r w:rsidRPr="0038186A">
        <w:rPr>
          <w:b/>
          <w:bCs/>
          <w:sz w:val="28"/>
          <w:szCs w:val="28"/>
        </w:rPr>
        <w:t>allocated estimated allocations of UAH 118,482.9 thousand</w:t>
      </w:r>
      <w:r w:rsidRPr="0038186A">
        <w:rPr>
          <w:sz w:val="28"/>
          <w:szCs w:val="28"/>
        </w:rPr>
        <w:t xml:space="preserve"> to support the activities of the National School of Judges </w:t>
      </w:r>
      <w:r w:rsidRPr="0038186A">
        <w:rPr>
          <w:b/>
          <w:bCs/>
          <w:sz w:val="28"/>
          <w:szCs w:val="28"/>
        </w:rPr>
        <w:t>: UAH 118,232.9 thousand for the general fund and UAH 250.0 thousand for the special fund.</w:t>
      </w:r>
    </w:p>
    <w:p w:rsidR="00B708E5" w:rsidRPr="0038186A" w:rsidRDefault="00B708E5" w:rsidP="0038186A">
      <w:pPr>
        <w:pStyle w:val="a7"/>
        <w:jc w:val="both"/>
        <w:rPr>
          <w:sz w:val="28"/>
          <w:szCs w:val="28"/>
        </w:rPr>
      </w:pPr>
      <w:r w:rsidRPr="0038186A">
        <w:rPr>
          <w:sz w:val="28"/>
          <w:szCs w:val="28"/>
        </w:rPr>
        <w:t xml:space="preserve">During 2021, the National School of Judges of Ukraine reduced its estimated allocations by certificates of amendments to the 2021 budget in the total amount of </w:t>
      </w:r>
      <w:r w:rsidRPr="0038186A">
        <w:rPr>
          <w:b/>
          <w:bCs/>
          <w:sz w:val="28"/>
          <w:szCs w:val="28"/>
        </w:rPr>
        <w:t>UAH 18,716.5 thousand.</w:t>
      </w:r>
    </w:p>
    <w:p w:rsidR="00B708E5" w:rsidRPr="0038186A" w:rsidRDefault="00B708E5" w:rsidP="0038186A">
      <w:pPr>
        <w:pStyle w:val="a7"/>
        <w:jc w:val="both"/>
        <w:rPr>
          <w:sz w:val="28"/>
          <w:szCs w:val="28"/>
        </w:rPr>
      </w:pPr>
      <w:r w:rsidRPr="0038186A">
        <w:rPr>
          <w:b/>
          <w:bCs/>
          <w:sz w:val="28"/>
          <w:szCs w:val="28"/>
        </w:rPr>
        <w:lastRenderedPageBreak/>
        <w:t>In total, the estimated allocations of the National School of Judges for 2021 amount to UAH 99,766.4 thousand: for the general fund - UAH 99,551.4 thousand, for the special fund - UAH 215.0 thousand.</w:t>
      </w:r>
    </w:p>
    <w:p w:rsidR="00B708E5" w:rsidRPr="0038186A" w:rsidRDefault="00B708E5" w:rsidP="0038186A">
      <w:pPr>
        <w:pStyle w:val="a7"/>
        <w:jc w:val="both"/>
        <w:rPr>
          <w:sz w:val="28"/>
          <w:szCs w:val="28"/>
        </w:rPr>
      </w:pPr>
      <w:r w:rsidRPr="0038186A">
        <w:rPr>
          <w:sz w:val="28"/>
          <w:szCs w:val="28"/>
        </w:rPr>
        <w:t>In particular:</w:t>
      </w:r>
    </w:p>
    <w:p w:rsidR="00B708E5" w:rsidRPr="0038186A" w:rsidRDefault="00B708E5" w:rsidP="0038186A">
      <w:pPr>
        <w:pStyle w:val="a7"/>
        <w:spacing w:before="0" w:beforeAutospacing="0" w:after="0" w:afterAutospacing="0"/>
        <w:jc w:val="both"/>
        <w:rPr>
          <w:sz w:val="28"/>
          <w:szCs w:val="28"/>
        </w:rPr>
      </w:pPr>
      <w:r w:rsidRPr="0038186A">
        <w:rPr>
          <w:sz w:val="28"/>
          <w:szCs w:val="28"/>
        </w:rPr>
        <w:t>salaries and wages - UAH 95,202.8 thousand,</w:t>
      </w:r>
    </w:p>
    <w:p w:rsidR="00B708E5" w:rsidRPr="0038186A" w:rsidRDefault="00B708E5" w:rsidP="0038186A">
      <w:pPr>
        <w:pStyle w:val="a7"/>
        <w:spacing w:before="0" w:beforeAutospacing="0" w:after="0" w:afterAutospacing="0"/>
        <w:jc w:val="both"/>
        <w:rPr>
          <w:sz w:val="28"/>
          <w:szCs w:val="28"/>
        </w:rPr>
      </w:pPr>
      <w:r w:rsidRPr="0038186A">
        <w:rPr>
          <w:sz w:val="28"/>
          <w:szCs w:val="28"/>
        </w:rPr>
        <w:t>expenditures on goods and services - UAH 3,269.4 thousand,</w:t>
      </w:r>
    </w:p>
    <w:p w:rsidR="00B708E5" w:rsidRPr="0038186A" w:rsidRDefault="00B708E5" w:rsidP="0038186A">
      <w:pPr>
        <w:pStyle w:val="a7"/>
        <w:spacing w:before="0" w:beforeAutospacing="0" w:after="0" w:afterAutospacing="0"/>
        <w:jc w:val="both"/>
        <w:rPr>
          <w:sz w:val="28"/>
          <w:szCs w:val="28"/>
        </w:rPr>
      </w:pPr>
      <w:r w:rsidRPr="0038186A">
        <w:rPr>
          <w:sz w:val="28"/>
          <w:szCs w:val="28"/>
        </w:rPr>
        <w:t>business trip expenses - UAH 24.9 thousand,</w:t>
      </w:r>
    </w:p>
    <w:p w:rsidR="00B708E5" w:rsidRPr="0038186A" w:rsidRDefault="00B708E5" w:rsidP="0038186A">
      <w:pPr>
        <w:pStyle w:val="a7"/>
        <w:spacing w:before="0" w:beforeAutospacing="0" w:after="0" w:afterAutospacing="0"/>
        <w:jc w:val="both"/>
        <w:rPr>
          <w:sz w:val="28"/>
          <w:szCs w:val="28"/>
        </w:rPr>
      </w:pPr>
      <w:r w:rsidRPr="0038186A">
        <w:rPr>
          <w:sz w:val="28"/>
          <w:szCs w:val="28"/>
        </w:rPr>
        <w:t>utility costs - UAH 1,269.3 thousand.</w:t>
      </w:r>
    </w:p>
    <w:p w:rsidR="007D2B79" w:rsidRPr="00F7755B" w:rsidRDefault="007D2B79" w:rsidP="007D2B79">
      <w:pPr>
        <w:spacing w:after="0"/>
        <w:ind w:firstLine="709"/>
        <w:jc w:val="both"/>
        <w:rPr>
          <w:rFonts w:ascii="Times New Roman" w:hAnsi="Times New Roman" w:cs="Times New Roman"/>
          <w:sz w:val="28"/>
          <w:szCs w:val="28"/>
          <w:lang w:val="uk-UA"/>
        </w:rPr>
      </w:pPr>
    </w:p>
    <w:p w:rsidR="007D2B79" w:rsidRPr="00F7755B" w:rsidRDefault="007D2B79" w:rsidP="007D2B79">
      <w:pPr>
        <w:spacing w:after="0"/>
        <w:ind w:firstLine="709"/>
        <w:jc w:val="both"/>
        <w:rPr>
          <w:rFonts w:ascii="Times New Roman" w:hAnsi="Times New Roman" w:cs="Times New Roman"/>
          <w:sz w:val="28"/>
          <w:szCs w:val="28"/>
          <w:lang w:val="uk-UA"/>
        </w:rPr>
      </w:pPr>
    </w:p>
    <w:p w:rsidR="007D2B79" w:rsidRPr="00F7755B" w:rsidRDefault="007D2B79" w:rsidP="007D2B79">
      <w:pPr>
        <w:spacing w:after="0"/>
        <w:jc w:val="both"/>
        <w:rPr>
          <w:rFonts w:ascii="Times New Roman" w:hAnsi="Times New Roman" w:cs="Times New Roman"/>
          <w:sz w:val="28"/>
          <w:szCs w:val="28"/>
          <w:lang w:val="uk-UA"/>
        </w:rPr>
      </w:pPr>
      <w:r w:rsidRPr="00F7755B">
        <w:rPr>
          <w:rFonts w:ascii="Times New Roman" w:hAnsi="Times New Roman" w:cs="Times New Roman"/>
          <w:noProof/>
          <w:sz w:val="28"/>
          <w:szCs w:val="28"/>
          <w:lang w:val="uk-UA" w:eastAsia="uk-UA"/>
        </w:rPr>
        <w:drawing>
          <wp:inline distT="0" distB="0" distL="0" distR="0" wp14:anchorId="5602FB0F" wp14:editId="4B6656D3">
            <wp:extent cx="6089650" cy="4544704"/>
            <wp:effectExtent l="0" t="0" r="6350" b="8255"/>
            <wp:docPr id="31"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7D2B79" w:rsidRPr="00F7755B" w:rsidRDefault="007D2B79" w:rsidP="007D2B79">
      <w:pPr>
        <w:spacing w:after="0"/>
        <w:ind w:firstLine="709"/>
        <w:jc w:val="both"/>
        <w:rPr>
          <w:rFonts w:ascii="Times New Roman" w:hAnsi="Times New Roman" w:cs="Times New Roman"/>
          <w:sz w:val="28"/>
          <w:szCs w:val="28"/>
          <w:lang w:val="uk-UA"/>
        </w:rPr>
      </w:pPr>
    </w:p>
    <w:p w:rsidR="00B708E5" w:rsidRPr="00B708E5" w:rsidRDefault="00B708E5" w:rsidP="00B708E5">
      <w:pPr>
        <w:pStyle w:val="a7"/>
        <w:jc w:val="both"/>
        <w:rPr>
          <w:sz w:val="28"/>
          <w:szCs w:val="28"/>
        </w:rPr>
      </w:pPr>
      <w:r w:rsidRPr="00B708E5">
        <w:rPr>
          <w:sz w:val="28"/>
          <w:szCs w:val="28"/>
        </w:rPr>
        <w:t>Within the approved allocations, timely remuneration of employees of the institution, teachers and other persons involved in research and teaching work in 2021 was ensured.</w:t>
      </w:r>
    </w:p>
    <w:p w:rsidR="00B708E5" w:rsidRPr="00B708E5" w:rsidRDefault="00B708E5" w:rsidP="00B708E5">
      <w:pPr>
        <w:pStyle w:val="a7"/>
        <w:jc w:val="both"/>
        <w:rPr>
          <w:sz w:val="28"/>
          <w:szCs w:val="28"/>
        </w:rPr>
      </w:pPr>
      <w:r w:rsidRPr="00B708E5">
        <w:rPr>
          <w:sz w:val="28"/>
          <w:szCs w:val="28"/>
        </w:rPr>
        <w:t xml:space="preserve">To ensure the operation of the National School of Judges of Ukraine during the pandemic, personal protective equipment and disinfectants to combat COViD-19 were purchased, the class 3 comprehensive information security system was extended, a </w:t>
      </w:r>
      <w:r w:rsidRPr="00B708E5">
        <w:rPr>
          <w:sz w:val="28"/>
          <w:szCs w:val="28"/>
        </w:rPr>
        <w:lastRenderedPageBreak/>
        <w:t>copy of software licensed under Zoom Business was purchased, rent, communication, utility and other services were paid for, and the national scientific, practical and methodological legal publication ‘Word of the National School of Judges of Ukraine’ was published.</w:t>
      </w:r>
    </w:p>
    <w:p w:rsidR="00B708E5" w:rsidRPr="00B708E5" w:rsidRDefault="00B708E5" w:rsidP="00B708E5">
      <w:pPr>
        <w:pStyle w:val="a7"/>
        <w:jc w:val="both"/>
        <w:rPr>
          <w:sz w:val="28"/>
          <w:szCs w:val="28"/>
        </w:rPr>
      </w:pPr>
      <w:r w:rsidRPr="00B708E5">
        <w:rPr>
          <w:sz w:val="28"/>
          <w:szCs w:val="28"/>
        </w:rPr>
        <w:t>As of 1 January 2022, there were no accounts payable.</w:t>
      </w:r>
    </w:p>
    <w:p w:rsidR="007D2B79" w:rsidRPr="00F7755B" w:rsidRDefault="007D2B79" w:rsidP="003C78B9">
      <w:pPr>
        <w:spacing w:after="0"/>
        <w:jc w:val="both"/>
        <w:rPr>
          <w:rFonts w:ascii="Times New Roman" w:hAnsi="Times New Roman" w:cs="Times New Roman"/>
          <w:sz w:val="28"/>
          <w:szCs w:val="28"/>
          <w:lang w:val="uk-UA"/>
        </w:rPr>
      </w:pPr>
    </w:p>
    <w:p w:rsidR="007D2B79" w:rsidRPr="004716C7" w:rsidRDefault="007D2B79" w:rsidP="007D2B79">
      <w:pPr>
        <w:spacing w:after="0"/>
        <w:ind w:firstLine="709"/>
        <w:jc w:val="both"/>
        <w:rPr>
          <w:rFonts w:ascii="Times New Roman" w:hAnsi="Times New Roman" w:cs="Times New Roman"/>
          <w:sz w:val="28"/>
          <w:szCs w:val="28"/>
          <w:lang w:val="uk-UA"/>
        </w:rPr>
      </w:pPr>
    </w:p>
    <w:p w:rsidR="00F90299" w:rsidRPr="00E02193" w:rsidRDefault="00F90299" w:rsidP="00F90299">
      <w:pPr>
        <w:spacing w:after="0"/>
        <w:jc w:val="both"/>
        <w:rPr>
          <w:rFonts w:ascii="Times New Roman" w:hAnsi="Times New Roman"/>
          <w:b/>
          <w:sz w:val="28"/>
          <w:szCs w:val="28"/>
          <w:lang w:val="uk-UA"/>
        </w:rPr>
      </w:pPr>
    </w:p>
    <w:p w:rsidR="00876D64" w:rsidRPr="004035CD" w:rsidRDefault="00876D64" w:rsidP="00F90299">
      <w:pPr>
        <w:pStyle w:val="12"/>
        <w:spacing w:before="240"/>
        <w:ind w:left="0"/>
        <w:rPr>
          <w:b/>
          <w:iCs/>
          <w:sz w:val="28"/>
          <w:szCs w:val="28"/>
          <w:lang w:eastAsia="uk-UA"/>
        </w:rPr>
      </w:pPr>
    </w:p>
    <w:p w:rsidR="00876D64" w:rsidRPr="004035CD" w:rsidRDefault="00876D64" w:rsidP="006A0831">
      <w:pPr>
        <w:overflowPunct w:val="0"/>
        <w:autoSpaceDE w:val="0"/>
        <w:autoSpaceDN w:val="0"/>
        <w:adjustRightInd w:val="0"/>
        <w:spacing w:before="120" w:line="276" w:lineRule="auto"/>
        <w:jc w:val="center"/>
        <w:rPr>
          <w:rFonts w:ascii="Times New Roman" w:eastAsia="Calibri" w:hAnsi="Times New Roman" w:cs="Times New Roman"/>
          <w:b/>
          <w:iCs/>
          <w:kern w:val="24"/>
          <w:position w:val="1"/>
          <w:sz w:val="28"/>
          <w:szCs w:val="28"/>
          <w:lang w:val="uk-UA" w:eastAsia="uk-UA"/>
        </w:rPr>
      </w:pPr>
    </w:p>
    <w:sectPr w:rsidR="00876D64" w:rsidRPr="004035CD" w:rsidSect="00CA4810">
      <w:pgSz w:w="11906" w:h="16838" w:code="9"/>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82B91" w:rsidRDefault="00482B91">
      <w:pPr>
        <w:spacing w:after="0"/>
      </w:pPr>
      <w:r>
        <w:separator/>
      </w:r>
    </w:p>
  </w:endnote>
  <w:endnote w:type="continuationSeparator" w:id="0">
    <w:p w:rsidR="00482B91" w:rsidRDefault="00482B9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ntiqua">
    <w:altName w:val="Arial Narrow"/>
    <w:charset w:val="00"/>
    <w:family w:val="swiss"/>
    <w:pitch w:val="variable"/>
    <w:sig w:usb0="00000001" w:usb1="00000000" w:usb2="00000000" w:usb3="00000000" w:csb0="00000005" w:csb1="00000000"/>
  </w:font>
  <w:font w:name="TimesET">
    <w:altName w:val="Times New Roman"/>
    <w:charset w:val="00"/>
    <w:family w:val="auto"/>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82B91" w:rsidRDefault="00482B91">
      <w:pPr>
        <w:spacing w:after="0"/>
      </w:pPr>
      <w:r>
        <w:separator/>
      </w:r>
    </w:p>
  </w:footnote>
  <w:footnote w:type="continuationSeparator" w:id="0">
    <w:p w:rsidR="00482B91" w:rsidRDefault="00482B91">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3AF7" w:rsidRDefault="00363AF7">
    <w:pPr>
      <w:pStyle w:val="a8"/>
      <w:jc w:val="center"/>
    </w:pPr>
    <w:r>
      <w:fldChar w:fldCharType="begin"/>
    </w:r>
    <w:r>
      <w:instrText>PAGE   \* MERGEFORMAT</w:instrText>
    </w:r>
    <w:r>
      <w:fldChar w:fldCharType="separate"/>
    </w:r>
    <w:r w:rsidR="00185204">
      <w:rPr>
        <w:noProof/>
      </w:rPr>
      <w:t>58</w:t>
    </w:r>
    <w:r>
      <w:rPr>
        <w:noProof/>
      </w:rPr>
      <w:fldChar w:fldCharType="end"/>
    </w:r>
  </w:p>
  <w:p w:rsidR="00363AF7" w:rsidRDefault="00363AF7">
    <w:pPr>
      <w:pStyle w:val="a8"/>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3AF7" w:rsidRDefault="00363AF7">
    <w:pPr>
      <w:pStyle w:val="a8"/>
      <w:jc w:val="center"/>
    </w:pPr>
  </w:p>
  <w:p w:rsidR="00363AF7" w:rsidRDefault="00363AF7">
    <w:pPr>
      <w:pStyle w:val="a8"/>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C7257"/>
    <w:multiLevelType w:val="hybridMultilevel"/>
    <w:tmpl w:val="663EE41C"/>
    <w:lvl w:ilvl="0" w:tplc="0419000B">
      <w:start w:val="1"/>
      <w:numFmt w:val="bullet"/>
      <w:lvlText w:val=""/>
      <w:lvlJc w:val="left"/>
      <w:pPr>
        <w:ind w:left="360" w:hanging="360"/>
      </w:pPr>
      <w:rPr>
        <w:rFonts w:ascii="Wingdings" w:hAnsi="Wingdings" w:hint="default"/>
      </w:rPr>
    </w:lvl>
    <w:lvl w:ilvl="1" w:tplc="04220003">
      <w:start w:val="1"/>
      <w:numFmt w:val="bullet"/>
      <w:lvlText w:val="o"/>
      <w:lvlJc w:val="left"/>
      <w:pPr>
        <w:ind w:left="2149" w:hanging="360"/>
      </w:pPr>
      <w:rPr>
        <w:rFonts w:ascii="Courier New" w:hAnsi="Courier New" w:cs="Courier New" w:hint="default"/>
      </w:rPr>
    </w:lvl>
    <w:lvl w:ilvl="2" w:tplc="04220005">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cs="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cs="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 w15:restartNumberingAfterBreak="0">
    <w:nsid w:val="02F3661E"/>
    <w:multiLevelType w:val="hybridMultilevel"/>
    <w:tmpl w:val="8E8C35D0"/>
    <w:lvl w:ilvl="0" w:tplc="0419000B">
      <w:start w:val="1"/>
      <w:numFmt w:val="bullet"/>
      <w:lvlText w:val=""/>
      <w:lvlJc w:val="left"/>
      <w:pPr>
        <w:ind w:left="1146" w:hanging="360"/>
      </w:pPr>
      <w:rPr>
        <w:rFonts w:ascii="Wingdings" w:hAnsi="Wingdings" w:hint="default"/>
      </w:rPr>
    </w:lvl>
    <w:lvl w:ilvl="1" w:tplc="0419000B">
      <w:start w:val="1"/>
      <w:numFmt w:val="bullet"/>
      <w:lvlText w:val=""/>
      <w:lvlJc w:val="left"/>
      <w:pPr>
        <w:ind w:left="1866" w:hanging="360"/>
      </w:pPr>
      <w:rPr>
        <w:rFonts w:ascii="Wingdings" w:hAnsi="Wingdings" w:hint="default"/>
      </w:rPr>
    </w:lvl>
    <w:lvl w:ilvl="2" w:tplc="04220005" w:tentative="1">
      <w:start w:val="1"/>
      <w:numFmt w:val="bullet"/>
      <w:lvlText w:val=""/>
      <w:lvlJc w:val="left"/>
      <w:pPr>
        <w:ind w:left="2586" w:hanging="360"/>
      </w:pPr>
      <w:rPr>
        <w:rFonts w:ascii="Wingdings" w:hAnsi="Wingdings" w:hint="default"/>
      </w:rPr>
    </w:lvl>
    <w:lvl w:ilvl="3" w:tplc="04220001" w:tentative="1">
      <w:start w:val="1"/>
      <w:numFmt w:val="bullet"/>
      <w:lvlText w:val=""/>
      <w:lvlJc w:val="left"/>
      <w:pPr>
        <w:ind w:left="3306" w:hanging="360"/>
      </w:pPr>
      <w:rPr>
        <w:rFonts w:ascii="Symbol" w:hAnsi="Symbol" w:hint="default"/>
      </w:rPr>
    </w:lvl>
    <w:lvl w:ilvl="4" w:tplc="04220003" w:tentative="1">
      <w:start w:val="1"/>
      <w:numFmt w:val="bullet"/>
      <w:lvlText w:val="o"/>
      <w:lvlJc w:val="left"/>
      <w:pPr>
        <w:ind w:left="4026" w:hanging="360"/>
      </w:pPr>
      <w:rPr>
        <w:rFonts w:ascii="Courier New" w:hAnsi="Courier New" w:cs="Courier New" w:hint="default"/>
      </w:rPr>
    </w:lvl>
    <w:lvl w:ilvl="5" w:tplc="04220005" w:tentative="1">
      <w:start w:val="1"/>
      <w:numFmt w:val="bullet"/>
      <w:lvlText w:val=""/>
      <w:lvlJc w:val="left"/>
      <w:pPr>
        <w:ind w:left="4746" w:hanging="360"/>
      </w:pPr>
      <w:rPr>
        <w:rFonts w:ascii="Wingdings" w:hAnsi="Wingdings" w:hint="default"/>
      </w:rPr>
    </w:lvl>
    <w:lvl w:ilvl="6" w:tplc="04220001" w:tentative="1">
      <w:start w:val="1"/>
      <w:numFmt w:val="bullet"/>
      <w:lvlText w:val=""/>
      <w:lvlJc w:val="left"/>
      <w:pPr>
        <w:ind w:left="5466" w:hanging="360"/>
      </w:pPr>
      <w:rPr>
        <w:rFonts w:ascii="Symbol" w:hAnsi="Symbol" w:hint="default"/>
      </w:rPr>
    </w:lvl>
    <w:lvl w:ilvl="7" w:tplc="04220003" w:tentative="1">
      <w:start w:val="1"/>
      <w:numFmt w:val="bullet"/>
      <w:lvlText w:val="o"/>
      <w:lvlJc w:val="left"/>
      <w:pPr>
        <w:ind w:left="6186" w:hanging="360"/>
      </w:pPr>
      <w:rPr>
        <w:rFonts w:ascii="Courier New" w:hAnsi="Courier New" w:cs="Courier New" w:hint="default"/>
      </w:rPr>
    </w:lvl>
    <w:lvl w:ilvl="8" w:tplc="04220005" w:tentative="1">
      <w:start w:val="1"/>
      <w:numFmt w:val="bullet"/>
      <w:lvlText w:val=""/>
      <w:lvlJc w:val="left"/>
      <w:pPr>
        <w:ind w:left="6906" w:hanging="360"/>
      </w:pPr>
      <w:rPr>
        <w:rFonts w:ascii="Wingdings" w:hAnsi="Wingdings" w:hint="default"/>
      </w:rPr>
    </w:lvl>
  </w:abstractNum>
  <w:abstractNum w:abstractNumId="2" w15:restartNumberingAfterBreak="0">
    <w:nsid w:val="033A6D74"/>
    <w:multiLevelType w:val="hybridMultilevel"/>
    <w:tmpl w:val="947AACF0"/>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15:restartNumberingAfterBreak="0">
    <w:nsid w:val="034648C0"/>
    <w:multiLevelType w:val="hybridMultilevel"/>
    <w:tmpl w:val="5B7029A6"/>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15:restartNumberingAfterBreak="0">
    <w:nsid w:val="05177939"/>
    <w:multiLevelType w:val="hybridMultilevel"/>
    <w:tmpl w:val="A3B6FA42"/>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15:restartNumberingAfterBreak="0">
    <w:nsid w:val="05F4226C"/>
    <w:multiLevelType w:val="hybridMultilevel"/>
    <w:tmpl w:val="7AD2411C"/>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06675BAF"/>
    <w:multiLevelType w:val="hybridMultilevel"/>
    <w:tmpl w:val="26E0B270"/>
    <w:lvl w:ilvl="0" w:tplc="8EB43574">
      <w:start w:val="51"/>
      <w:numFmt w:val="bullet"/>
      <w:lvlText w:val="-"/>
      <w:lvlJc w:val="left"/>
      <w:pPr>
        <w:ind w:left="1069" w:hanging="360"/>
      </w:pPr>
      <w:rPr>
        <w:rFonts w:ascii="Times New Roman" w:eastAsia="Times New Roman" w:hAnsi="Times New Roman" w:cs="Times New Roman" w:hint="default"/>
      </w:rPr>
    </w:lvl>
    <w:lvl w:ilvl="1" w:tplc="04220003" w:tentative="1">
      <w:start w:val="1"/>
      <w:numFmt w:val="bullet"/>
      <w:lvlText w:val="o"/>
      <w:lvlJc w:val="left"/>
      <w:pPr>
        <w:ind w:left="1789" w:hanging="360"/>
      </w:pPr>
      <w:rPr>
        <w:rFonts w:ascii="Courier New" w:hAnsi="Courier New" w:cs="Courier New" w:hint="default"/>
      </w:rPr>
    </w:lvl>
    <w:lvl w:ilvl="2" w:tplc="04220005" w:tentative="1">
      <w:start w:val="1"/>
      <w:numFmt w:val="bullet"/>
      <w:lvlText w:val=""/>
      <w:lvlJc w:val="left"/>
      <w:pPr>
        <w:ind w:left="2509" w:hanging="360"/>
      </w:pPr>
      <w:rPr>
        <w:rFonts w:ascii="Wingdings" w:hAnsi="Wingdings" w:hint="default"/>
      </w:rPr>
    </w:lvl>
    <w:lvl w:ilvl="3" w:tplc="04220001" w:tentative="1">
      <w:start w:val="1"/>
      <w:numFmt w:val="bullet"/>
      <w:lvlText w:val=""/>
      <w:lvlJc w:val="left"/>
      <w:pPr>
        <w:ind w:left="3229" w:hanging="360"/>
      </w:pPr>
      <w:rPr>
        <w:rFonts w:ascii="Symbol" w:hAnsi="Symbol" w:hint="default"/>
      </w:rPr>
    </w:lvl>
    <w:lvl w:ilvl="4" w:tplc="04220003" w:tentative="1">
      <w:start w:val="1"/>
      <w:numFmt w:val="bullet"/>
      <w:lvlText w:val="o"/>
      <w:lvlJc w:val="left"/>
      <w:pPr>
        <w:ind w:left="3949" w:hanging="360"/>
      </w:pPr>
      <w:rPr>
        <w:rFonts w:ascii="Courier New" w:hAnsi="Courier New" w:cs="Courier New" w:hint="default"/>
      </w:rPr>
    </w:lvl>
    <w:lvl w:ilvl="5" w:tplc="04220005" w:tentative="1">
      <w:start w:val="1"/>
      <w:numFmt w:val="bullet"/>
      <w:lvlText w:val=""/>
      <w:lvlJc w:val="left"/>
      <w:pPr>
        <w:ind w:left="4669" w:hanging="360"/>
      </w:pPr>
      <w:rPr>
        <w:rFonts w:ascii="Wingdings" w:hAnsi="Wingdings" w:hint="default"/>
      </w:rPr>
    </w:lvl>
    <w:lvl w:ilvl="6" w:tplc="04220001" w:tentative="1">
      <w:start w:val="1"/>
      <w:numFmt w:val="bullet"/>
      <w:lvlText w:val=""/>
      <w:lvlJc w:val="left"/>
      <w:pPr>
        <w:ind w:left="5389" w:hanging="360"/>
      </w:pPr>
      <w:rPr>
        <w:rFonts w:ascii="Symbol" w:hAnsi="Symbol" w:hint="default"/>
      </w:rPr>
    </w:lvl>
    <w:lvl w:ilvl="7" w:tplc="04220003" w:tentative="1">
      <w:start w:val="1"/>
      <w:numFmt w:val="bullet"/>
      <w:lvlText w:val="o"/>
      <w:lvlJc w:val="left"/>
      <w:pPr>
        <w:ind w:left="6109" w:hanging="360"/>
      </w:pPr>
      <w:rPr>
        <w:rFonts w:ascii="Courier New" w:hAnsi="Courier New" w:cs="Courier New" w:hint="default"/>
      </w:rPr>
    </w:lvl>
    <w:lvl w:ilvl="8" w:tplc="04220005" w:tentative="1">
      <w:start w:val="1"/>
      <w:numFmt w:val="bullet"/>
      <w:lvlText w:val=""/>
      <w:lvlJc w:val="left"/>
      <w:pPr>
        <w:ind w:left="6829" w:hanging="360"/>
      </w:pPr>
      <w:rPr>
        <w:rFonts w:ascii="Wingdings" w:hAnsi="Wingdings" w:hint="default"/>
      </w:rPr>
    </w:lvl>
  </w:abstractNum>
  <w:abstractNum w:abstractNumId="7" w15:restartNumberingAfterBreak="0">
    <w:nsid w:val="0D2F6727"/>
    <w:multiLevelType w:val="hybridMultilevel"/>
    <w:tmpl w:val="10AAD03A"/>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15:restartNumberingAfterBreak="0">
    <w:nsid w:val="0EA04886"/>
    <w:multiLevelType w:val="hybridMultilevel"/>
    <w:tmpl w:val="E5C8B524"/>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13DB7FD4"/>
    <w:multiLevelType w:val="hybridMultilevel"/>
    <w:tmpl w:val="54E09DE6"/>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17A01478"/>
    <w:multiLevelType w:val="hybridMultilevel"/>
    <w:tmpl w:val="F32A4858"/>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15:restartNumberingAfterBreak="0">
    <w:nsid w:val="1FE70F3D"/>
    <w:multiLevelType w:val="hybridMultilevel"/>
    <w:tmpl w:val="8F0A045A"/>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15:restartNumberingAfterBreak="0">
    <w:nsid w:val="2A02494A"/>
    <w:multiLevelType w:val="hybridMultilevel"/>
    <w:tmpl w:val="C5F86650"/>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15:restartNumberingAfterBreak="0">
    <w:nsid w:val="2A8D1560"/>
    <w:multiLevelType w:val="hybridMultilevel"/>
    <w:tmpl w:val="93F24BA2"/>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4" w15:restartNumberingAfterBreak="0">
    <w:nsid w:val="2ABD5AF1"/>
    <w:multiLevelType w:val="hybridMultilevel"/>
    <w:tmpl w:val="392A8E80"/>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15:restartNumberingAfterBreak="0">
    <w:nsid w:val="34671BA9"/>
    <w:multiLevelType w:val="hybridMultilevel"/>
    <w:tmpl w:val="C3785A6C"/>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6" w15:restartNumberingAfterBreak="0">
    <w:nsid w:val="37737B75"/>
    <w:multiLevelType w:val="hybridMultilevel"/>
    <w:tmpl w:val="0890D7DE"/>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380F50E8"/>
    <w:multiLevelType w:val="hybridMultilevel"/>
    <w:tmpl w:val="2AAA356A"/>
    <w:lvl w:ilvl="0" w:tplc="0422000B">
      <w:start w:val="1"/>
      <w:numFmt w:val="bullet"/>
      <w:lvlText w:val=""/>
      <w:lvlJc w:val="left"/>
      <w:pPr>
        <w:ind w:left="1637" w:hanging="360"/>
      </w:pPr>
      <w:rPr>
        <w:rFonts w:ascii="Wingdings" w:hAnsi="Wingdings"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18" w15:restartNumberingAfterBreak="0">
    <w:nsid w:val="3B015489"/>
    <w:multiLevelType w:val="hybridMultilevel"/>
    <w:tmpl w:val="A8F2EDCE"/>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9" w15:restartNumberingAfterBreak="0">
    <w:nsid w:val="3FB2522F"/>
    <w:multiLevelType w:val="hybridMultilevel"/>
    <w:tmpl w:val="485AFC7E"/>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15:restartNumberingAfterBreak="0">
    <w:nsid w:val="42F02FBF"/>
    <w:multiLevelType w:val="hybridMultilevel"/>
    <w:tmpl w:val="EC6A5968"/>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1" w15:restartNumberingAfterBreak="0">
    <w:nsid w:val="46B95847"/>
    <w:multiLevelType w:val="hybridMultilevel"/>
    <w:tmpl w:val="B84A97FA"/>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2" w15:restartNumberingAfterBreak="0">
    <w:nsid w:val="483E2D93"/>
    <w:multiLevelType w:val="hybridMultilevel"/>
    <w:tmpl w:val="53AED3D2"/>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3" w15:restartNumberingAfterBreak="0">
    <w:nsid w:val="49CD77A2"/>
    <w:multiLevelType w:val="hybridMultilevel"/>
    <w:tmpl w:val="A4804FBE"/>
    <w:lvl w:ilvl="0" w:tplc="5CE67076">
      <w:start w:val="1"/>
      <w:numFmt w:val="bullet"/>
      <w:lvlText w:val=""/>
      <w:lvlJc w:val="left"/>
      <w:pPr>
        <w:ind w:left="1428" w:hanging="360"/>
      </w:pPr>
      <w:rPr>
        <w:rFonts w:ascii="Symbol" w:hAnsi="Symbol" w:hint="default"/>
      </w:rPr>
    </w:lvl>
    <w:lvl w:ilvl="1" w:tplc="04220003" w:tentative="1">
      <w:start w:val="1"/>
      <w:numFmt w:val="bullet"/>
      <w:lvlText w:val="o"/>
      <w:lvlJc w:val="left"/>
      <w:pPr>
        <w:ind w:left="2148" w:hanging="360"/>
      </w:pPr>
      <w:rPr>
        <w:rFonts w:ascii="Courier New" w:hAnsi="Courier New" w:cs="Courier New" w:hint="default"/>
      </w:rPr>
    </w:lvl>
    <w:lvl w:ilvl="2" w:tplc="04220005" w:tentative="1">
      <w:start w:val="1"/>
      <w:numFmt w:val="bullet"/>
      <w:lvlText w:val=""/>
      <w:lvlJc w:val="left"/>
      <w:pPr>
        <w:ind w:left="2868" w:hanging="360"/>
      </w:pPr>
      <w:rPr>
        <w:rFonts w:ascii="Wingdings" w:hAnsi="Wingdings" w:hint="default"/>
      </w:rPr>
    </w:lvl>
    <w:lvl w:ilvl="3" w:tplc="04220001" w:tentative="1">
      <w:start w:val="1"/>
      <w:numFmt w:val="bullet"/>
      <w:lvlText w:val=""/>
      <w:lvlJc w:val="left"/>
      <w:pPr>
        <w:ind w:left="3588" w:hanging="360"/>
      </w:pPr>
      <w:rPr>
        <w:rFonts w:ascii="Symbol" w:hAnsi="Symbol" w:hint="default"/>
      </w:rPr>
    </w:lvl>
    <w:lvl w:ilvl="4" w:tplc="04220003" w:tentative="1">
      <w:start w:val="1"/>
      <w:numFmt w:val="bullet"/>
      <w:lvlText w:val="o"/>
      <w:lvlJc w:val="left"/>
      <w:pPr>
        <w:ind w:left="4308" w:hanging="360"/>
      </w:pPr>
      <w:rPr>
        <w:rFonts w:ascii="Courier New" w:hAnsi="Courier New" w:cs="Courier New" w:hint="default"/>
      </w:rPr>
    </w:lvl>
    <w:lvl w:ilvl="5" w:tplc="04220005" w:tentative="1">
      <w:start w:val="1"/>
      <w:numFmt w:val="bullet"/>
      <w:lvlText w:val=""/>
      <w:lvlJc w:val="left"/>
      <w:pPr>
        <w:ind w:left="5028" w:hanging="360"/>
      </w:pPr>
      <w:rPr>
        <w:rFonts w:ascii="Wingdings" w:hAnsi="Wingdings" w:hint="default"/>
      </w:rPr>
    </w:lvl>
    <w:lvl w:ilvl="6" w:tplc="04220001" w:tentative="1">
      <w:start w:val="1"/>
      <w:numFmt w:val="bullet"/>
      <w:lvlText w:val=""/>
      <w:lvlJc w:val="left"/>
      <w:pPr>
        <w:ind w:left="5748" w:hanging="360"/>
      </w:pPr>
      <w:rPr>
        <w:rFonts w:ascii="Symbol" w:hAnsi="Symbol" w:hint="default"/>
      </w:rPr>
    </w:lvl>
    <w:lvl w:ilvl="7" w:tplc="04220003" w:tentative="1">
      <w:start w:val="1"/>
      <w:numFmt w:val="bullet"/>
      <w:lvlText w:val="o"/>
      <w:lvlJc w:val="left"/>
      <w:pPr>
        <w:ind w:left="6468" w:hanging="360"/>
      </w:pPr>
      <w:rPr>
        <w:rFonts w:ascii="Courier New" w:hAnsi="Courier New" w:cs="Courier New" w:hint="default"/>
      </w:rPr>
    </w:lvl>
    <w:lvl w:ilvl="8" w:tplc="04220005" w:tentative="1">
      <w:start w:val="1"/>
      <w:numFmt w:val="bullet"/>
      <w:lvlText w:val=""/>
      <w:lvlJc w:val="left"/>
      <w:pPr>
        <w:ind w:left="7188" w:hanging="360"/>
      </w:pPr>
      <w:rPr>
        <w:rFonts w:ascii="Wingdings" w:hAnsi="Wingdings" w:hint="default"/>
      </w:rPr>
    </w:lvl>
  </w:abstractNum>
  <w:abstractNum w:abstractNumId="24" w15:restartNumberingAfterBreak="0">
    <w:nsid w:val="4B9974D8"/>
    <w:multiLevelType w:val="hybridMultilevel"/>
    <w:tmpl w:val="97A069FC"/>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5" w15:restartNumberingAfterBreak="0">
    <w:nsid w:val="4F150ED6"/>
    <w:multiLevelType w:val="hybridMultilevel"/>
    <w:tmpl w:val="8EBE8B1E"/>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6" w15:restartNumberingAfterBreak="0">
    <w:nsid w:val="4F3E5113"/>
    <w:multiLevelType w:val="hybridMultilevel"/>
    <w:tmpl w:val="05E8FE26"/>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7" w15:restartNumberingAfterBreak="0">
    <w:nsid w:val="505B7B58"/>
    <w:multiLevelType w:val="hybridMultilevel"/>
    <w:tmpl w:val="7CDCA9E8"/>
    <w:lvl w:ilvl="0" w:tplc="0422000B">
      <w:start w:val="1"/>
      <w:numFmt w:val="bullet"/>
      <w:lvlText w:val=""/>
      <w:lvlJc w:val="left"/>
      <w:pPr>
        <w:ind w:left="795" w:hanging="360"/>
      </w:pPr>
      <w:rPr>
        <w:rFonts w:ascii="Wingdings" w:hAnsi="Wingdings" w:hint="default"/>
      </w:rPr>
    </w:lvl>
    <w:lvl w:ilvl="1" w:tplc="04220003" w:tentative="1">
      <w:start w:val="1"/>
      <w:numFmt w:val="bullet"/>
      <w:lvlText w:val="o"/>
      <w:lvlJc w:val="left"/>
      <w:pPr>
        <w:ind w:left="1515" w:hanging="360"/>
      </w:pPr>
      <w:rPr>
        <w:rFonts w:ascii="Courier New" w:hAnsi="Courier New" w:cs="Courier New" w:hint="default"/>
      </w:rPr>
    </w:lvl>
    <w:lvl w:ilvl="2" w:tplc="04220005" w:tentative="1">
      <w:start w:val="1"/>
      <w:numFmt w:val="bullet"/>
      <w:lvlText w:val=""/>
      <w:lvlJc w:val="left"/>
      <w:pPr>
        <w:ind w:left="2235" w:hanging="360"/>
      </w:pPr>
      <w:rPr>
        <w:rFonts w:ascii="Wingdings" w:hAnsi="Wingdings" w:hint="default"/>
      </w:rPr>
    </w:lvl>
    <w:lvl w:ilvl="3" w:tplc="04220001" w:tentative="1">
      <w:start w:val="1"/>
      <w:numFmt w:val="bullet"/>
      <w:lvlText w:val=""/>
      <w:lvlJc w:val="left"/>
      <w:pPr>
        <w:ind w:left="2955" w:hanging="360"/>
      </w:pPr>
      <w:rPr>
        <w:rFonts w:ascii="Symbol" w:hAnsi="Symbol" w:hint="default"/>
      </w:rPr>
    </w:lvl>
    <w:lvl w:ilvl="4" w:tplc="04220003" w:tentative="1">
      <w:start w:val="1"/>
      <w:numFmt w:val="bullet"/>
      <w:lvlText w:val="o"/>
      <w:lvlJc w:val="left"/>
      <w:pPr>
        <w:ind w:left="3675" w:hanging="360"/>
      </w:pPr>
      <w:rPr>
        <w:rFonts w:ascii="Courier New" w:hAnsi="Courier New" w:cs="Courier New" w:hint="default"/>
      </w:rPr>
    </w:lvl>
    <w:lvl w:ilvl="5" w:tplc="04220005" w:tentative="1">
      <w:start w:val="1"/>
      <w:numFmt w:val="bullet"/>
      <w:lvlText w:val=""/>
      <w:lvlJc w:val="left"/>
      <w:pPr>
        <w:ind w:left="4395" w:hanging="360"/>
      </w:pPr>
      <w:rPr>
        <w:rFonts w:ascii="Wingdings" w:hAnsi="Wingdings" w:hint="default"/>
      </w:rPr>
    </w:lvl>
    <w:lvl w:ilvl="6" w:tplc="04220001" w:tentative="1">
      <w:start w:val="1"/>
      <w:numFmt w:val="bullet"/>
      <w:lvlText w:val=""/>
      <w:lvlJc w:val="left"/>
      <w:pPr>
        <w:ind w:left="5115" w:hanging="360"/>
      </w:pPr>
      <w:rPr>
        <w:rFonts w:ascii="Symbol" w:hAnsi="Symbol" w:hint="default"/>
      </w:rPr>
    </w:lvl>
    <w:lvl w:ilvl="7" w:tplc="04220003" w:tentative="1">
      <w:start w:val="1"/>
      <w:numFmt w:val="bullet"/>
      <w:lvlText w:val="o"/>
      <w:lvlJc w:val="left"/>
      <w:pPr>
        <w:ind w:left="5835" w:hanging="360"/>
      </w:pPr>
      <w:rPr>
        <w:rFonts w:ascii="Courier New" w:hAnsi="Courier New" w:cs="Courier New" w:hint="default"/>
      </w:rPr>
    </w:lvl>
    <w:lvl w:ilvl="8" w:tplc="04220005" w:tentative="1">
      <w:start w:val="1"/>
      <w:numFmt w:val="bullet"/>
      <w:lvlText w:val=""/>
      <w:lvlJc w:val="left"/>
      <w:pPr>
        <w:ind w:left="6555" w:hanging="360"/>
      </w:pPr>
      <w:rPr>
        <w:rFonts w:ascii="Wingdings" w:hAnsi="Wingdings" w:hint="default"/>
      </w:rPr>
    </w:lvl>
  </w:abstractNum>
  <w:abstractNum w:abstractNumId="28" w15:restartNumberingAfterBreak="0">
    <w:nsid w:val="513D6419"/>
    <w:multiLevelType w:val="hybridMultilevel"/>
    <w:tmpl w:val="C99C026C"/>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9" w15:restartNumberingAfterBreak="0">
    <w:nsid w:val="51795DE5"/>
    <w:multiLevelType w:val="hybridMultilevel"/>
    <w:tmpl w:val="A4443794"/>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0" w15:restartNumberingAfterBreak="0">
    <w:nsid w:val="57C727F1"/>
    <w:multiLevelType w:val="hybridMultilevel"/>
    <w:tmpl w:val="1DB645B6"/>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1" w15:restartNumberingAfterBreak="0">
    <w:nsid w:val="5C44630E"/>
    <w:multiLevelType w:val="hybridMultilevel"/>
    <w:tmpl w:val="BAEA2148"/>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2" w15:restartNumberingAfterBreak="0">
    <w:nsid w:val="60667BCB"/>
    <w:multiLevelType w:val="hybridMultilevel"/>
    <w:tmpl w:val="D5BE6180"/>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3" w15:restartNumberingAfterBreak="0">
    <w:nsid w:val="6AB56581"/>
    <w:multiLevelType w:val="hybridMultilevel"/>
    <w:tmpl w:val="A420094A"/>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4" w15:restartNumberingAfterBreak="0">
    <w:nsid w:val="6CEA17FE"/>
    <w:multiLevelType w:val="hybridMultilevel"/>
    <w:tmpl w:val="1EF64726"/>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5" w15:restartNumberingAfterBreak="0">
    <w:nsid w:val="748E489E"/>
    <w:multiLevelType w:val="hybridMultilevel"/>
    <w:tmpl w:val="57DAB7CC"/>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6" w15:restartNumberingAfterBreak="0">
    <w:nsid w:val="75E47FA4"/>
    <w:multiLevelType w:val="hybridMultilevel"/>
    <w:tmpl w:val="0A04AA30"/>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7" w15:restartNumberingAfterBreak="0">
    <w:nsid w:val="7FDD0528"/>
    <w:multiLevelType w:val="hybridMultilevel"/>
    <w:tmpl w:val="F476DFDC"/>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16"/>
  </w:num>
  <w:num w:numId="2">
    <w:abstractNumId w:val="0"/>
  </w:num>
  <w:num w:numId="3">
    <w:abstractNumId w:val="1"/>
  </w:num>
  <w:num w:numId="4">
    <w:abstractNumId w:val="23"/>
  </w:num>
  <w:num w:numId="5">
    <w:abstractNumId w:val="17"/>
  </w:num>
  <w:num w:numId="6">
    <w:abstractNumId w:val="6"/>
  </w:num>
  <w:num w:numId="7">
    <w:abstractNumId w:val="27"/>
  </w:num>
  <w:num w:numId="8">
    <w:abstractNumId w:val="29"/>
  </w:num>
  <w:num w:numId="9">
    <w:abstractNumId w:val="32"/>
  </w:num>
  <w:num w:numId="10">
    <w:abstractNumId w:val="3"/>
  </w:num>
  <w:num w:numId="11">
    <w:abstractNumId w:val="36"/>
  </w:num>
  <w:num w:numId="12">
    <w:abstractNumId w:val="26"/>
  </w:num>
  <w:num w:numId="13">
    <w:abstractNumId w:val="20"/>
  </w:num>
  <w:num w:numId="14">
    <w:abstractNumId w:val="12"/>
  </w:num>
  <w:num w:numId="15">
    <w:abstractNumId w:val="14"/>
  </w:num>
  <w:num w:numId="16">
    <w:abstractNumId w:val="2"/>
  </w:num>
  <w:num w:numId="17">
    <w:abstractNumId w:val="33"/>
  </w:num>
  <w:num w:numId="18">
    <w:abstractNumId w:val="8"/>
  </w:num>
  <w:num w:numId="19">
    <w:abstractNumId w:val="30"/>
  </w:num>
  <w:num w:numId="20">
    <w:abstractNumId w:val="22"/>
  </w:num>
  <w:num w:numId="21">
    <w:abstractNumId w:val="11"/>
  </w:num>
  <w:num w:numId="22">
    <w:abstractNumId w:val="19"/>
  </w:num>
  <w:num w:numId="23">
    <w:abstractNumId w:val="35"/>
  </w:num>
  <w:num w:numId="24">
    <w:abstractNumId w:val="9"/>
  </w:num>
  <w:num w:numId="25">
    <w:abstractNumId w:val="31"/>
  </w:num>
  <w:num w:numId="26">
    <w:abstractNumId w:val="21"/>
  </w:num>
  <w:num w:numId="27">
    <w:abstractNumId w:val="37"/>
  </w:num>
  <w:num w:numId="28">
    <w:abstractNumId w:val="4"/>
  </w:num>
  <w:num w:numId="29">
    <w:abstractNumId w:val="7"/>
  </w:num>
  <w:num w:numId="30">
    <w:abstractNumId w:val="13"/>
  </w:num>
  <w:num w:numId="31">
    <w:abstractNumId w:val="10"/>
  </w:num>
  <w:num w:numId="32">
    <w:abstractNumId w:val="15"/>
  </w:num>
  <w:num w:numId="33">
    <w:abstractNumId w:val="18"/>
  </w:num>
  <w:num w:numId="34">
    <w:abstractNumId w:val="5"/>
  </w:num>
  <w:num w:numId="35">
    <w:abstractNumId w:val="25"/>
  </w:num>
  <w:num w:numId="36">
    <w:abstractNumId w:val="24"/>
  </w:num>
  <w:num w:numId="37">
    <w:abstractNumId w:val="28"/>
  </w:num>
  <w:num w:numId="38">
    <w:abstractNumId w:val="34"/>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attachedTemplate r:id="rId1"/>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0812"/>
    <w:rsid w:val="00002A9F"/>
    <w:rsid w:val="00002D9F"/>
    <w:rsid w:val="00003684"/>
    <w:rsid w:val="000036DF"/>
    <w:rsid w:val="00003918"/>
    <w:rsid w:val="0000429D"/>
    <w:rsid w:val="0000592B"/>
    <w:rsid w:val="00012D9C"/>
    <w:rsid w:val="00013B91"/>
    <w:rsid w:val="00015DA2"/>
    <w:rsid w:val="0001631D"/>
    <w:rsid w:val="000176AF"/>
    <w:rsid w:val="000200FA"/>
    <w:rsid w:val="00021B20"/>
    <w:rsid w:val="00026482"/>
    <w:rsid w:val="00027FB0"/>
    <w:rsid w:val="000345B8"/>
    <w:rsid w:val="00034BFB"/>
    <w:rsid w:val="00034F7C"/>
    <w:rsid w:val="0003505B"/>
    <w:rsid w:val="0003721C"/>
    <w:rsid w:val="00037561"/>
    <w:rsid w:val="0004143A"/>
    <w:rsid w:val="0004552D"/>
    <w:rsid w:val="00045852"/>
    <w:rsid w:val="00047FA0"/>
    <w:rsid w:val="00050AF3"/>
    <w:rsid w:val="00052680"/>
    <w:rsid w:val="00052E2B"/>
    <w:rsid w:val="0005589E"/>
    <w:rsid w:val="0005624B"/>
    <w:rsid w:val="0005688E"/>
    <w:rsid w:val="000678C9"/>
    <w:rsid w:val="00067BC7"/>
    <w:rsid w:val="000723F7"/>
    <w:rsid w:val="000753E5"/>
    <w:rsid w:val="00077151"/>
    <w:rsid w:val="00083156"/>
    <w:rsid w:val="000837BD"/>
    <w:rsid w:val="0008657A"/>
    <w:rsid w:val="00090049"/>
    <w:rsid w:val="00091CC2"/>
    <w:rsid w:val="000966AD"/>
    <w:rsid w:val="000A19D8"/>
    <w:rsid w:val="000A612A"/>
    <w:rsid w:val="000A6982"/>
    <w:rsid w:val="000B0CC3"/>
    <w:rsid w:val="000B3385"/>
    <w:rsid w:val="000B38AF"/>
    <w:rsid w:val="000B677E"/>
    <w:rsid w:val="000C3C3D"/>
    <w:rsid w:val="000D0F6E"/>
    <w:rsid w:val="000D1D0E"/>
    <w:rsid w:val="000D223B"/>
    <w:rsid w:val="000D3CD9"/>
    <w:rsid w:val="000D4AAF"/>
    <w:rsid w:val="000E3607"/>
    <w:rsid w:val="000E4466"/>
    <w:rsid w:val="000E51FB"/>
    <w:rsid w:val="000E7B1C"/>
    <w:rsid w:val="000F3F05"/>
    <w:rsid w:val="000F45BA"/>
    <w:rsid w:val="000F5AC0"/>
    <w:rsid w:val="000F6917"/>
    <w:rsid w:val="000F79C5"/>
    <w:rsid w:val="001019C3"/>
    <w:rsid w:val="0010309B"/>
    <w:rsid w:val="0010488F"/>
    <w:rsid w:val="001049B5"/>
    <w:rsid w:val="00105197"/>
    <w:rsid w:val="00105F92"/>
    <w:rsid w:val="00107CB7"/>
    <w:rsid w:val="00107E55"/>
    <w:rsid w:val="00113A3B"/>
    <w:rsid w:val="00116C1F"/>
    <w:rsid w:val="00121615"/>
    <w:rsid w:val="00121C7A"/>
    <w:rsid w:val="00122808"/>
    <w:rsid w:val="0012310E"/>
    <w:rsid w:val="001242B6"/>
    <w:rsid w:val="001250D6"/>
    <w:rsid w:val="001341D3"/>
    <w:rsid w:val="00146947"/>
    <w:rsid w:val="00146FEA"/>
    <w:rsid w:val="001472B5"/>
    <w:rsid w:val="00147690"/>
    <w:rsid w:val="00147969"/>
    <w:rsid w:val="001562A2"/>
    <w:rsid w:val="00162FEC"/>
    <w:rsid w:val="00167241"/>
    <w:rsid w:val="00171D90"/>
    <w:rsid w:val="00173165"/>
    <w:rsid w:val="0017391F"/>
    <w:rsid w:val="00173D3B"/>
    <w:rsid w:val="00183B99"/>
    <w:rsid w:val="00185204"/>
    <w:rsid w:val="00185CBF"/>
    <w:rsid w:val="0018752B"/>
    <w:rsid w:val="0019161A"/>
    <w:rsid w:val="00195394"/>
    <w:rsid w:val="00195499"/>
    <w:rsid w:val="001974AA"/>
    <w:rsid w:val="001A0F1C"/>
    <w:rsid w:val="001A3AF4"/>
    <w:rsid w:val="001A3F52"/>
    <w:rsid w:val="001A5D37"/>
    <w:rsid w:val="001A7191"/>
    <w:rsid w:val="001A7D61"/>
    <w:rsid w:val="001B19A9"/>
    <w:rsid w:val="001B2170"/>
    <w:rsid w:val="001B3229"/>
    <w:rsid w:val="001B4065"/>
    <w:rsid w:val="001B412D"/>
    <w:rsid w:val="001B41D6"/>
    <w:rsid w:val="001B4337"/>
    <w:rsid w:val="001B476A"/>
    <w:rsid w:val="001B52BC"/>
    <w:rsid w:val="001B5468"/>
    <w:rsid w:val="001C1912"/>
    <w:rsid w:val="001C26A6"/>
    <w:rsid w:val="001C6327"/>
    <w:rsid w:val="001C7AF0"/>
    <w:rsid w:val="001D010A"/>
    <w:rsid w:val="001D1ABE"/>
    <w:rsid w:val="001D2F1E"/>
    <w:rsid w:val="001D6D70"/>
    <w:rsid w:val="001E2375"/>
    <w:rsid w:val="001E2B2B"/>
    <w:rsid w:val="001E5D06"/>
    <w:rsid w:val="001E6BC2"/>
    <w:rsid w:val="001E6C84"/>
    <w:rsid w:val="001F2142"/>
    <w:rsid w:val="00200BD8"/>
    <w:rsid w:val="00202DD0"/>
    <w:rsid w:val="002056E8"/>
    <w:rsid w:val="0021052D"/>
    <w:rsid w:val="0021597C"/>
    <w:rsid w:val="00217B68"/>
    <w:rsid w:val="00222093"/>
    <w:rsid w:val="00222B6B"/>
    <w:rsid w:val="0022359A"/>
    <w:rsid w:val="002247F2"/>
    <w:rsid w:val="00226073"/>
    <w:rsid w:val="00230176"/>
    <w:rsid w:val="0023151B"/>
    <w:rsid w:val="002315B3"/>
    <w:rsid w:val="002345B8"/>
    <w:rsid w:val="00235C42"/>
    <w:rsid w:val="00236CC9"/>
    <w:rsid w:val="00240172"/>
    <w:rsid w:val="00243216"/>
    <w:rsid w:val="00244460"/>
    <w:rsid w:val="0024525B"/>
    <w:rsid w:val="00250899"/>
    <w:rsid w:val="00252811"/>
    <w:rsid w:val="00252FC0"/>
    <w:rsid w:val="00255576"/>
    <w:rsid w:val="00257615"/>
    <w:rsid w:val="00257FC9"/>
    <w:rsid w:val="0026221E"/>
    <w:rsid w:val="002650B0"/>
    <w:rsid w:val="002654DC"/>
    <w:rsid w:val="00270CD9"/>
    <w:rsid w:val="0027343F"/>
    <w:rsid w:val="00276EEF"/>
    <w:rsid w:val="00283A87"/>
    <w:rsid w:val="00283B1C"/>
    <w:rsid w:val="00283B5D"/>
    <w:rsid w:val="00283E1C"/>
    <w:rsid w:val="0028417D"/>
    <w:rsid w:val="00285457"/>
    <w:rsid w:val="0028586F"/>
    <w:rsid w:val="00285E1F"/>
    <w:rsid w:val="00286CD3"/>
    <w:rsid w:val="002871C3"/>
    <w:rsid w:val="00293966"/>
    <w:rsid w:val="002949C7"/>
    <w:rsid w:val="00294D01"/>
    <w:rsid w:val="002969A9"/>
    <w:rsid w:val="002A0D09"/>
    <w:rsid w:val="002A189E"/>
    <w:rsid w:val="002A5462"/>
    <w:rsid w:val="002B15C6"/>
    <w:rsid w:val="002B2BA5"/>
    <w:rsid w:val="002B3534"/>
    <w:rsid w:val="002B760E"/>
    <w:rsid w:val="002C0A45"/>
    <w:rsid w:val="002C0FC9"/>
    <w:rsid w:val="002C19B4"/>
    <w:rsid w:val="002C1D10"/>
    <w:rsid w:val="002C25B8"/>
    <w:rsid w:val="002C3AFE"/>
    <w:rsid w:val="002D132E"/>
    <w:rsid w:val="002D3BED"/>
    <w:rsid w:val="002D5CBF"/>
    <w:rsid w:val="002D6DEB"/>
    <w:rsid w:val="002D7BB0"/>
    <w:rsid w:val="002E0A47"/>
    <w:rsid w:val="002E56E0"/>
    <w:rsid w:val="002E584C"/>
    <w:rsid w:val="002E6EE7"/>
    <w:rsid w:val="002E770F"/>
    <w:rsid w:val="002F5F47"/>
    <w:rsid w:val="00300034"/>
    <w:rsid w:val="00300DEE"/>
    <w:rsid w:val="003025E4"/>
    <w:rsid w:val="00302B77"/>
    <w:rsid w:val="003049E7"/>
    <w:rsid w:val="0030786F"/>
    <w:rsid w:val="00310257"/>
    <w:rsid w:val="00310DC0"/>
    <w:rsid w:val="00311D89"/>
    <w:rsid w:val="003134D4"/>
    <w:rsid w:val="00313D64"/>
    <w:rsid w:val="0031496E"/>
    <w:rsid w:val="0031624D"/>
    <w:rsid w:val="003258BF"/>
    <w:rsid w:val="00326377"/>
    <w:rsid w:val="0032687F"/>
    <w:rsid w:val="003321C8"/>
    <w:rsid w:val="0033390C"/>
    <w:rsid w:val="00334613"/>
    <w:rsid w:val="00335EDE"/>
    <w:rsid w:val="00336FCE"/>
    <w:rsid w:val="0034057B"/>
    <w:rsid w:val="00341E1D"/>
    <w:rsid w:val="003441B3"/>
    <w:rsid w:val="00344385"/>
    <w:rsid w:val="00351E02"/>
    <w:rsid w:val="00353673"/>
    <w:rsid w:val="003542D6"/>
    <w:rsid w:val="00354727"/>
    <w:rsid w:val="003550E8"/>
    <w:rsid w:val="00355884"/>
    <w:rsid w:val="00355981"/>
    <w:rsid w:val="00355E85"/>
    <w:rsid w:val="003578D2"/>
    <w:rsid w:val="00363570"/>
    <w:rsid w:val="00363AF7"/>
    <w:rsid w:val="00364923"/>
    <w:rsid w:val="00365C29"/>
    <w:rsid w:val="003667DD"/>
    <w:rsid w:val="00371B76"/>
    <w:rsid w:val="0038186A"/>
    <w:rsid w:val="00381FE9"/>
    <w:rsid w:val="0038541C"/>
    <w:rsid w:val="00386D7A"/>
    <w:rsid w:val="00387DEB"/>
    <w:rsid w:val="003932C6"/>
    <w:rsid w:val="003A0D0E"/>
    <w:rsid w:val="003A1AD0"/>
    <w:rsid w:val="003A22C5"/>
    <w:rsid w:val="003A326B"/>
    <w:rsid w:val="003A7CF8"/>
    <w:rsid w:val="003B31A7"/>
    <w:rsid w:val="003C2D15"/>
    <w:rsid w:val="003C3443"/>
    <w:rsid w:val="003C35B0"/>
    <w:rsid w:val="003C6C67"/>
    <w:rsid w:val="003C6F96"/>
    <w:rsid w:val="003C78B9"/>
    <w:rsid w:val="003D4005"/>
    <w:rsid w:val="003D60F0"/>
    <w:rsid w:val="003D7F3F"/>
    <w:rsid w:val="003E07D0"/>
    <w:rsid w:val="003E1EAC"/>
    <w:rsid w:val="003E3C6A"/>
    <w:rsid w:val="003E4759"/>
    <w:rsid w:val="003E6B6B"/>
    <w:rsid w:val="003F14A3"/>
    <w:rsid w:val="003F5103"/>
    <w:rsid w:val="003F5BE2"/>
    <w:rsid w:val="003F7A90"/>
    <w:rsid w:val="00401D7A"/>
    <w:rsid w:val="004035CD"/>
    <w:rsid w:val="00404B46"/>
    <w:rsid w:val="004065A1"/>
    <w:rsid w:val="004075C2"/>
    <w:rsid w:val="00407A89"/>
    <w:rsid w:val="004136DD"/>
    <w:rsid w:val="00420AA1"/>
    <w:rsid w:val="0042442C"/>
    <w:rsid w:val="0043241C"/>
    <w:rsid w:val="00433133"/>
    <w:rsid w:val="00434A96"/>
    <w:rsid w:val="0043566E"/>
    <w:rsid w:val="00437178"/>
    <w:rsid w:val="00440A35"/>
    <w:rsid w:val="0044346E"/>
    <w:rsid w:val="00443CCE"/>
    <w:rsid w:val="00447964"/>
    <w:rsid w:val="00447F8C"/>
    <w:rsid w:val="00457C5E"/>
    <w:rsid w:val="004621A5"/>
    <w:rsid w:val="00463CC7"/>
    <w:rsid w:val="00464112"/>
    <w:rsid w:val="00464206"/>
    <w:rsid w:val="00467A04"/>
    <w:rsid w:val="00470A82"/>
    <w:rsid w:val="00474003"/>
    <w:rsid w:val="0047678B"/>
    <w:rsid w:val="00476C9C"/>
    <w:rsid w:val="00480205"/>
    <w:rsid w:val="004803D3"/>
    <w:rsid w:val="0048287E"/>
    <w:rsid w:val="00482B91"/>
    <w:rsid w:val="00483F4C"/>
    <w:rsid w:val="0048448F"/>
    <w:rsid w:val="00484CA1"/>
    <w:rsid w:val="0048775D"/>
    <w:rsid w:val="004912A8"/>
    <w:rsid w:val="00493551"/>
    <w:rsid w:val="004A0221"/>
    <w:rsid w:val="004A1D9D"/>
    <w:rsid w:val="004A2AA3"/>
    <w:rsid w:val="004A5EF6"/>
    <w:rsid w:val="004A6EFF"/>
    <w:rsid w:val="004B0976"/>
    <w:rsid w:val="004B1F8C"/>
    <w:rsid w:val="004B231C"/>
    <w:rsid w:val="004B3D93"/>
    <w:rsid w:val="004B69F3"/>
    <w:rsid w:val="004B7515"/>
    <w:rsid w:val="004B7A79"/>
    <w:rsid w:val="004C0D5B"/>
    <w:rsid w:val="004C1001"/>
    <w:rsid w:val="004C2CB9"/>
    <w:rsid w:val="004C35E7"/>
    <w:rsid w:val="004C42A1"/>
    <w:rsid w:val="004C7390"/>
    <w:rsid w:val="004D70EE"/>
    <w:rsid w:val="004D78C7"/>
    <w:rsid w:val="004E02B1"/>
    <w:rsid w:val="004E0604"/>
    <w:rsid w:val="004E1019"/>
    <w:rsid w:val="004E135F"/>
    <w:rsid w:val="004E29F4"/>
    <w:rsid w:val="004E5B4A"/>
    <w:rsid w:val="004E684D"/>
    <w:rsid w:val="004F1052"/>
    <w:rsid w:val="004F14A3"/>
    <w:rsid w:val="004F422C"/>
    <w:rsid w:val="004F609A"/>
    <w:rsid w:val="004F6A16"/>
    <w:rsid w:val="005005E3"/>
    <w:rsid w:val="00501371"/>
    <w:rsid w:val="00507CD5"/>
    <w:rsid w:val="00510019"/>
    <w:rsid w:val="00511ADC"/>
    <w:rsid w:val="00513BBC"/>
    <w:rsid w:val="00516E42"/>
    <w:rsid w:val="00516FAF"/>
    <w:rsid w:val="00517C76"/>
    <w:rsid w:val="005202EA"/>
    <w:rsid w:val="00521A8D"/>
    <w:rsid w:val="00522F94"/>
    <w:rsid w:val="00523414"/>
    <w:rsid w:val="005242CF"/>
    <w:rsid w:val="00524385"/>
    <w:rsid w:val="00526B02"/>
    <w:rsid w:val="00526EAD"/>
    <w:rsid w:val="005313DB"/>
    <w:rsid w:val="00531910"/>
    <w:rsid w:val="0053227A"/>
    <w:rsid w:val="0053279E"/>
    <w:rsid w:val="0053446D"/>
    <w:rsid w:val="00536108"/>
    <w:rsid w:val="00536950"/>
    <w:rsid w:val="005375BE"/>
    <w:rsid w:val="00540C5B"/>
    <w:rsid w:val="005459DE"/>
    <w:rsid w:val="00554BE4"/>
    <w:rsid w:val="00556DE0"/>
    <w:rsid w:val="00561CAE"/>
    <w:rsid w:val="005670C0"/>
    <w:rsid w:val="00571294"/>
    <w:rsid w:val="00571556"/>
    <w:rsid w:val="0057273B"/>
    <w:rsid w:val="005737C5"/>
    <w:rsid w:val="00573A48"/>
    <w:rsid w:val="00576377"/>
    <w:rsid w:val="0058433D"/>
    <w:rsid w:val="00593132"/>
    <w:rsid w:val="00595C13"/>
    <w:rsid w:val="00596623"/>
    <w:rsid w:val="005974C7"/>
    <w:rsid w:val="005A2DB4"/>
    <w:rsid w:val="005A442D"/>
    <w:rsid w:val="005A49EB"/>
    <w:rsid w:val="005A4DF3"/>
    <w:rsid w:val="005A578E"/>
    <w:rsid w:val="005A7563"/>
    <w:rsid w:val="005B0E41"/>
    <w:rsid w:val="005B0F32"/>
    <w:rsid w:val="005B1896"/>
    <w:rsid w:val="005B238B"/>
    <w:rsid w:val="005B49F2"/>
    <w:rsid w:val="005B6349"/>
    <w:rsid w:val="005C0804"/>
    <w:rsid w:val="005C2316"/>
    <w:rsid w:val="005C3297"/>
    <w:rsid w:val="005C5264"/>
    <w:rsid w:val="005D0D13"/>
    <w:rsid w:val="005D193C"/>
    <w:rsid w:val="005D5026"/>
    <w:rsid w:val="005D6900"/>
    <w:rsid w:val="005D7C9E"/>
    <w:rsid w:val="005E0C80"/>
    <w:rsid w:val="005E0D80"/>
    <w:rsid w:val="005E136C"/>
    <w:rsid w:val="005E1AD3"/>
    <w:rsid w:val="005E535A"/>
    <w:rsid w:val="005E7B07"/>
    <w:rsid w:val="005F7432"/>
    <w:rsid w:val="005F7D3B"/>
    <w:rsid w:val="00603B1A"/>
    <w:rsid w:val="0060631A"/>
    <w:rsid w:val="00606454"/>
    <w:rsid w:val="00606AF4"/>
    <w:rsid w:val="006104DF"/>
    <w:rsid w:val="00610734"/>
    <w:rsid w:val="00612347"/>
    <w:rsid w:val="00612969"/>
    <w:rsid w:val="006207A7"/>
    <w:rsid w:val="006214D5"/>
    <w:rsid w:val="00622B62"/>
    <w:rsid w:val="0063137F"/>
    <w:rsid w:val="00631C2E"/>
    <w:rsid w:val="00635F5D"/>
    <w:rsid w:val="00636934"/>
    <w:rsid w:val="00640755"/>
    <w:rsid w:val="0064210D"/>
    <w:rsid w:val="006453B7"/>
    <w:rsid w:val="00645E68"/>
    <w:rsid w:val="006462FA"/>
    <w:rsid w:val="00647DA7"/>
    <w:rsid w:val="00654D53"/>
    <w:rsid w:val="00655639"/>
    <w:rsid w:val="0065663B"/>
    <w:rsid w:val="00657046"/>
    <w:rsid w:val="00657608"/>
    <w:rsid w:val="00660C98"/>
    <w:rsid w:val="0066512C"/>
    <w:rsid w:val="006651C2"/>
    <w:rsid w:val="00665FE4"/>
    <w:rsid w:val="00671433"/>
    <w:rsid w:val="006722DB"/>
    <w:rsid w:val="00673BB4"/>
    <w:rsid w:val="006745A1"/>
    <w:rsid w:val="00681DFB"/>
    <w:rsid w:val="00683885"/>
    <w:rsid w:val="00683891"/>
    <w:rsid w:val="00683E23"/>
    <w:rsid w:val="00684153"/>
    <w:rsid w:val="006849F5"/>
    <w:rsid w:val="00684E7C"/>
    <w:rsid w:val="00685BBF"/>
    <w:rsid w:val="006902C4"/>
    <w:rsid w:val="00690766"/>
    <w:rsid w:val="00691EDE"/>
    <w:rsid w:val="00695A4C"/>
    <w:rsid w:val="00696179"/>
    <w:rsid w:val="006A022F"/>
    <w:rsid w:val="006A0831"/>
    <w:rsid w:val="006A34A4"/>
    <w:rsid w:val="006A60C6"/>
    <w:rsid w:val="006A718F"/>
    <w:rsid w:val="006B1E7B"/>
    <w:rsid w:val="006B1F4F"/>
    <w:rsid w:val="006B23BE"/>
    <w:rsid w:val="006B4BC3"/>
    <w:rsid w:val="006B5932"/>
    <w:rsid w:val="006B7430"/>
    <w:rsid w:val="006C1590"/>
    <w:rsid w:val="006C4B0D"/>
    <w:rsid w:val="006C6FD0"/>
    <w:rsid w:val="006C7A3A"/>
    <w:rsid w:val="006D2F79"/>
    <w:rsid w:val="006D5161"/>
    <w:rsid w:val="006D55AC"/>
    <w:rsid w:val="006D57DA"/>
    <w:rsid w:val="006D5FA5"/>
    <w:rsid w:val="006D6E29"/>
    <w:rsid w:val="006E187B"/>
    <w:rsid w:val="006E3995"/>
    <w:rsid w:val="006E66DB"/>
    <w:rsid w:val="006E683F"/>
    <w:rsid w:val="006E6A43"/>
    <w:rsid w:val="006F004E"/>
    <w:rsid w:val="006F78FD"/>
    <w:rsid w:val="00700A5C"/>
    <w:rsid w:val="00705C82"/>
    <w:rsid w:val="00705D5A"/>
    <w:rsid w:val="0071166A"/>
    <w:rsid w:val="0071172E"/>
    <w:rsid w:val="0071488C"/>
    <w:rsid w:val="00714DC6"/>
    <w:rsid w:val="00715BCF"/>
    <w:rsid w:val="00717BB6"/>
    <w:rsid w:val="00723CAB"/>
    <w:rsid w:val="0072646D"/>
    <w:rsid w:val="00727C1B"/>
    <w:rsid w:val="007305F5"/>
    <w:rsid w:val="00734521"/>
    <w:rsid w:val="00736700"/>
    <w:rsid w:val="00737101"/>
    <w:rsid w:val="007454D6"/>
    <w:rsid w:val="00745693"/>
    <w:rsid w:val="0074735B"/>
    <w:rsid w:val="0074781D"/>
    <w:rsid w:val="00751160"/>
    <w:rsid w:val="0075172E"/>
    <w:rsid w:val="00751C28"/>
    <w:rsid w:val="00763863"/>
    <w:rsid w:val="007650C0"/>
    <w:rsid w:val="007722F1"/>
    <w:rsid w:val="00775397"/>
    <w:rsid w:val="00775A2C"/>
    <w:rsid w:val="0077670F"/>
    <w:rsid w:val="0078080C"/>
    <w:rsid w:val="00782EA5"/>
    <w:rsid w:val="007835DF"/>
    <w:rsid w:val="00783C1A"/>
    <w:rsid w:val="00791483"/>
    <w:rsid w:val="00791BA9"/>
    <w:rsid w:val="007A1F19"/>
    <w:rsid w:val="007A2AB7"/>
    <w:rsid w:val="007A2AE4"/>
    <w:rsid w:val="007A48FB"/>
    <w:rsid w:val="007A53F5"/>
    <w:rsid w:val="007A6D65"/>
    <w:rsid w:val="007A7534"/>
    <w:rsid w:val="007A7B8A"/>
    <w:rsid w:val="007B0184"/>
    <w:rsid w:val="007B4A2C"/>
    <w:rsid w:val="007B5CBF"/>
    <w:rsid w:val="007B679A"/>
    <w:rsid w:val="007B794F"/>
    <w:rsid w:val="007C2491"/>
    <w:rsid w:val="007C2675"/>
    <w:rsid w:val="007C63A2"/>
    <w:rsid w:val="007C6F1B"/>
    <w:rsid w:val="007C6F52"/>
    <w:rsid w:val="007D2744"/>
    <w:rsid w:val="007D28C0"/>
    <w:rsid w:val="007D2B79"/>
    <w:rsid w:val="007D31BD"/>
    <w:rsid w:val="007D3FDB"/>
    <w:rsid w:val="007D402E"/>
    <w:rsid w:val="007D5094"/>
    <w:rsid w:val="007D6921"/>
    <w:rsid w:val="007D6A18"/>
    <w:rsid w:val="007E027F"/>
    <w:rsid w:val="007E10AD"/>
    <w:rsid w:val="007E187F"/>
    <w:rsid w:val="007E34E4"/>
    <w:rsid w:val="007E37DE"/>
    <w:rsid w:val="007F1752"/>
    <w:rsid w:val="007F1817"/>
    <w:rsid w:val="007F1BB7"/>
    <w:rsid w:val="007F2496"/>
    <w:rsid w:val="007F26A7"/>
    <w:rsid w:val="00800A9E"/>
    <w:rsid w:val="008019CD"/>
    <w:rsid w:val="008048EC"/>
    <w:rsid w:val="00804CC6"/>
    <w:rsid w:val="00810352"/>
    <w:rsid w:val="00817D99"/>
    <w:rsid w:val="0082369F"/>
    <w:rsid w:val="00824244"/>
    <w:rsid w:val="00824818"/>
    <w:rsid w:val="00826421"/>
    <w:rsid w:val="00842023"/>
    <w:rsid w:val="00843348"/>
    <w:rsid w:val="00845C67"/>
    <w:rsid w:val="008465A1"/>
    <w:rsid w:val="008467BF"/>
    <w:rsid w:val="00847DB5"/>
    <w:rsid w:val="0085291A"/>
    <w:rsid w:val="008539B5"/>
    <w:rsid w:val="008551FF"/>
    <w:rsid w:val="0085606A"/>
    <w:rsid w:val="008571A8"/>
    <w:rsid w:val="008578E9"/>
    <w:rsid w:val="00860437"/>
    <w:rsid w:val="0086107C"/>
    <w:rsid w:val="00870796"/>
    <w:rsid w:val="00871BC0"/>
    <w:rsid w:val="00872DE3"/>
    <w:rsid w:val="008736A1"/>
    <w:rsid w:val="00874BD0"/>
    <w:rsid w:val="00876D64"/>
    <w:rsid w:val="008800EE"/>
    <w:rsid w:val="00880247"/>
    <w:rsid w:val="008828A2"/>
    <w:rsid w:val="00883C6D"/>
    <w:rsid w:val="00887CC3"/>
    <w:rsid w:val="0089336F"/>
    <w:rsid w:val="00893661"/>
    <w:rsid w:val="008946D0"/>
    <w:rsid w:val="00896EB5"/>
    <w:rsid w:val="00897204"/>
    <w:rsid w:val="00897473"/>
    <w:rsid w:val="008A075C"/>
    <w:rsid w:val="008A079F"/>
    <w:rsid w:val="008A07EA"/>
    <w:rsid w:val="008A1D20"/>
    <w:rsid w:val="008A2141"/>
    <w:rsid w:val="008A6B81"/>
    <w:rsid w:val="008B05E4"/>
    <w:rsid w:val="008B4550"/>
    <w:rsid w:val="008B63D8"/>
    <w:rsid w:val="008B7037"/>
    <w:rsid w:val="008B7ADD"/>
    <w:rsid w:val="008C2095"/>
    <w:rsid w:val="008C46D1"/>
    <w:rsid w:val="008C65C8"/>
    <w:rsid w:val="008D153F"/>
    <w:rsid w:val="008D328F"/>
    <w:rsid w:val="008D58B2"/>
    <w:rsid w:val="008D5F19"/>
    <w:rsid w:val="008E0DDD"/>
    <w:rsid w:val="008E1B11"/>
    <w:rsid w:val="008E37E8"/>
    <w:rsid w:val="008F27B3"/>
    <w:rsid w:val="00900B27"/>
    <w:rsid w:val="00901C82"/>
    <w:rsid w:val="00901DF3"/>
    <w:rsid w:val="00902911"/>
    <w:rsid w:val="00903D9C"/>
    <w:rsid w:val="00905DE0"/>
    <w:rsid w:val="00910D40"/>
    <w:rsid w:val="00911DF7"/>
    <w:rsid w:val="0091277A"/>
    <w:rsid w:val="009130D8"/>
    <w:rsid w:val="00913BAE"/>
    <w:rsid w:val="009141C8"/>
    <w:rsid w:val="009149F7"/>
    <w:rsid w:val="00914BF0"/>
    <w:rsid w:val="009163E1"/>
    <w:rsid w:val="009225B9"/>
    <w:rsid w:val="00922FFE"/>
    <w:rsid w:val="009255BE"/>
    <w:rsid w:val="0092744C"/>
    <w:rsid w:val="0093129B"/>
    <w:rsid w:val="009320C3"/>
    <w:rsid w:val="009346E6"/>
    <w:rsid w:val="00936821"/>
    <w:rsid w:val="009374AD"/>
    <w:rsid w:val="00937BE7"/>
    <w:rsid w:val="00940D42"/>
    <w:rsid w:val="00941CB8"/>
    <w:rsid w:val="0094200F"/>
    <w:rsid w:val="00942618"/>
    <w:rsid w:val="009427B2"/>
    <w:rsid w:val="009433AA"/>
    <w:rsid w:val="00950F85"/>
    <w:rsid w:val="0095161F"/>
    <w:rsid w:val="0095473A"/>
    <w:rsid w:val="0096161C"/>
    <w:rsid w:val="0096723F"/>
    <w:rsid w:val="0096724F"/>
    <w:rsid w:val="00971712"/>
    <w:rsid w:val="00972315"/>
    <w:rsid w:val="00973BD0"/>
    <w:rsid w:val="00975FED"/>
    <w:rsid w:val="00977574"/>
    <w:rsid w:val="00977D1B"/>
    <w:rsid w:val="00981240"/>
    <w:rsid w:val="00982C0A"/>
    <w:rsid w:val="00986219"/>
    <w:rsid w:val="00986732"/>
    <w:rsid w:val="009874ED"/>
    <w:rsid w:val="00987F17"/>
    <w:rsid w:val="00990711"/>
    <w:rsid w:val="009915E6"/>
    <w:rsid w:val="009923FC"/>
    <w:rsid w:val="009943E5"/>
    <w:rsid w:val="009A03B6"/>
    <w:rsid w:val="009A13D2"/>
    <w:rsid w:val="009A2249"/>
    <w:rsid w:val="009A33FB"/>
    <w:rsid w:val="009A50FD"/>
    <w:rsid w:val="009B22E8"/>
    <w:rsid w:val="009B3DC5"/>
    <w:rsid w:val="009B4CC0"/>
    <w:rsid w:val="009B7038"/>
    <w:rsid w:val="009C0C84"/>
    <w:rsid w:val="009C18C8"/>
    <w:rsid w:val="009C1E0C"/>
    <w:rsid w:val="009C2149"/>
    <w:rsid w:val="009C309C"/>
    <w:rsid w:val="009C36A9"/>
    <w:rsid w:val="009C38E8"/>
    <w:rsid w:val="009C3992"/>
    <w:rsid w:val="009C4714"/>
    <w:rsid w:val="009C4E16"/>
    <w:rsid w:val="009C6BAE"/>
    <w:rsid w:val="009C7DF2"/>
    <w:rsid w:val="009D0584"/>
    <w:rsid w:val="009D09BA"/>
    <w:rsid w:val="009D6FA9"/>
    <w:rsid w:val="009D7A1F"/>
    <w:rsid w:val="009E3A96"/>
    <w:rsid w:val="009E3C79"/>
    <w:rsid w:val="009E6C47"/>
    <w:rsid w:val="009E7D81"/>
    <w:rsid w:val="009F606D"/>
    <w:rsid w:val="009F6A59"/>
    <w:rsid w:val="009F7CA5"/>
    <w:rsid w:val="009F7DA0"/>
    <w:rsid w:val="00A02F37"/>
    <w:rsid w:val="00A04120"/>
    <w:rsid w:val="00A05A82"/>
    <w:rsid w:val="00A06CBD"/>
    <w:rsid w:val="00A07A82"/>
    <w:rsid w:val="00A10039"/>
    <w:rsid w:val="00A11140"/>
    <w:rsid w:val="00A11275"/>
    <w:rsid w:val="00A116A9"/>
    <w:rsid w:val="00A15980"/>
    <w:rsid w:val="00A20E33"/>
    <w:rsid w:val="00A21CF9"/>
    <w:rsid w:val="00A23EB1"/>
    <w:rsid w:val="00A25E09"/>
    <w:rsid w:val="00A2761E"/>
    <w:rsid w:val="00A27DFA"/>
    <w:rsid w:val="00A30B7A"/>
    <w:rsid w:val="00A30F01"/>
    <w:rsid w:val="00A31376"/>
    <w:rsid w:val="00A3174F"/>
    <w:rsid w:val="00A356FD"/>
    <w:rsid w:val="00A35C17"/>
    <w:rsid w:val="00A364C7"/>
    <w:rsid w:val="00A36C6D"/>
    <w:rsid w:val="00A376E8"/>
    <w:rsid w:val="00A4244B"/>
    <w:rsid w:val="00A42C33"/>
    <w:rsid w:val="00A432D0"/>
    <w:rsid w:val="00A44E06"/>
    <w:rsid w:val="00A464D7"/>
    <w:rsid w:val="00A50812"/>
    <w:rsid w:val="00A52169"/>
    <w:rsid w:val="00A54590"/>
    <w:rsid w:val="00A551A3"/>
    <w:rsid w:val="00A562B4"/>
    <w:rsid w:val="00A57E75"/>
    <w:rsid w:val="00A6117E"/>
    <w:rsid w:val="00A63633"/>
    <w:rsid w:val="00A642C5"/>
    <w:rsid w:val="00A65488"/>
    <w:rsid w:val="00A66AF7"/>
    <w:rsid w:val="00A6732F"/>
    <w:rsid w:val="00A72428"/>
    <w:rsid w:val="00A72E15"/>
    <w:rsid w:val="00A75855"/>
    <w:rsid w:val="00A7683F"/>
    <w:rsid w:val="00A83FDF"/>
    <w:rsid w:val="00A843DB"/>
    <w:rsid w:val="00A863A5"/>
    <w:rsid w:val="00A86A3F"/>
    <w:rsid w:val="00A90121"/>
    <w:rsid w:val="00A91193"/>
    <w:rsid w:val="00A91293"/>
    <w:rsid w:val="00A91503"/>
    <w:rsid w:val="00A94AFE"/>
    <w:rsid w:val="00AA1DD4"/>
    <w:rsid w:val="00AA4843"/>
    <w:rsid w:val="00AA6B67"/>
    <w:rsid w:val="00AA7130"/>
    <w:rsid w:val="00AA7B07"/>
    <w:rsid w:val="00AB3F81"/>
    <w:rsid w:val="00AB4C4C"/>
    <w:rsid w:val="00AB54FE"/>
    <w:rsid w:val="00AB63A0"/>
    <w:rsid w:val="00AB7989"/>
    <w:rsid w:val="00AC1D3B"/>
    <w:rsid w:val="00AC2DFC"/>
    <w:rsid w:val="00AC60AE"/>
    <w:rsid w:val="00AD01E7"/>
    <w:rsid w:val="00AD1A1B"/>
    <w:rsid w:val="00AD1E19"/>
    <w:rsid w:val="00AD3597"/>
    <w:rsid w:val="00AD5CF0"/>
    <w:rsid w:val="00AE14D4"/>
    <w:rsid w:val="00AE1BD4"/>
    <w:rsid w:val="00AE2DEF"/>
    <w:rsid w:val="00AE2F47"/>
    <w:rsid w:val="00AE3E75"/>
    <w:rsid w:val="00AE4930"/>
    <w:rsid w:val="00AE657E"/>
    <w:rsid w:val="00AE6656"/>
    <w:rsid w:val="00AE6C66"/>
    <w:rsid w:val="00AE7C26"/>
    <w:rsid w:val="00AF402A"/>
    <w:rsid w:val="00AF6C9A"/>
    <w:rsid w:val="00AF7B89"/>
    <w:rsid w:val="00B039B9"/>
    <w:rsid w:val="00B03FEC"/>
    <w:rsid w:val="00B04601"/>
    <w:rsid w:val="00B04F71"/>
    <w:rsid w:val="00B06027"/>
    <w:rsid w:val="00B069AD"/>
    <w:rsid w:val="00B07E12"/>
    <w:rsid w:val="00B1087E"/>
    <w:rsid w:val="00B16A44"/>
    <w:rsid w:val="00B22121"/>
    <w:rsid w:val="00B222FF"/>
    <w:rsid w:val="00B23827"/>
    <w:rsid w:val="00B24863"/>
    <w:rsid w:val="00B25CC6"/>
    <w:rsid w:val="00B2779A"/>
    <w:rsid w:val="00B30C64"/>
    <w:rsid w:val="00B3634B"/>
    <w:rsid w:val="00B40EA1"/>
    <w:rsid w:val="00B42E5D"/>
    <w:rsid w:val="00B430A7"/>
    <w:rsid w:val="00B45F3A"/>
    <w:rsid w:val="00B51C69"/>
    <w:rsid w:val="00B52004"/>
    <w:rsid w:val="00B54529"/>
    <w:rsid w:val="00B57402"/>
    <w:rsid w:val="00B64E16"/>
    <w:rsid w:val="00B6693C"/>
    <w:rsid w:val="00B70173"/>
    <w:rsid w:val="00B708E5"/>
    <w:rsid w:val="00B70B21"/>
    <w:rsid w:val="00B73C53"/>
    <w:rsid w:val="00B73FC8"/>
    <w:rsid w:val="00B7742B"/>
    <w:rsid w:val="00B805C6"/>
    <w:rsid w:val="00B826C3"/>
    <w:rsid w:val="00B82F53"/>
    <w:rsid w:val="00B86375"/>
    <w:rsid w:val="00B926DA"/>
    <w:rsid w:val="00B92C53"/>
    <w:rsid w:val="00B9407C"/>
    <w:rsid w:val="00B95210"/>
    <w:rsid w:val="00B9680E"/>
    <w:rsid w:val="00B96DA1"/>
    <w:rsid w:val="00B96EA2"/>
    <w:rsid w:val="00B96EEC"/>
    <w:rsid w:val="00BA102E"/>
    <w:rsid w:val="00BA2A93"/>
    <w:rsid w:val="00BA40CF"/>
    <w:rsid w:val="00BA4804"/>
    <w:rsid w:val="00BA54DF"/>
    <w:rsid w:val="00BA6553"/>
    <w:rsid w:val="00BB12F6"/>
    <w:rsid w:val="00BB1609"/>
    <w:rsid w:val="00BB1B3C"/>
    <w:rsid w:val="00BB6DD8"/>
    <w:rsid w:val="00BB6EFB"/>
    <w:rsid w:val="00BB753E"/>
    <w:rsid w:val="00BC09A8"/>
    <w:rsid w:val="00BC2AED"/>
    <w:rsid w:val="00BC35E2"/>
    <w:rsid w:val="00BC49D6"/>
    <w:rsid w:val="00BC6427"/>
    <w:rsid w:val="00BC644D"/>
    <w:rsid w:val="00BC66B6"/>
    <w:rsid w:val="00BC66D9"/>
    <w:rsid w:val="00BD02CF"/>
    <w:rsid w:val="00BD04D3"/>
    <w:rsid w:val="00BD3FC4"/>
    <w:rsid w:val="00BD7E2A"/>
    <w:rsid w:val="00BE009F"/>
    <w:rsid w:val="00BE05C4"/>
    <w:rsid w:val="00BE2C61"/>
    <w:rsid w:val="00BE4A5D"/>
    <w:rsid w:val="00BE4CFC"/>
    <w:rsid w:val="00BE4EBE"/>
    <w:rsid w:val="00BE60AE"/>
    <w:rsid w:val="00BE6431"/>
    <w:rsid w:val="00BE7DC7"/>
    <w:rsid w:val="00BF0D1F"/>
    <w:rsid w:val="00BF2EB5"/>
    <w:rsid w:val="00BF5338"/>
    <w:rsid w:val="00BF6B9C"/>
    <w:rsid w:val="00BF7355"/>
    <w:rsid w:val="00C01939"/>
    <w:rsid w:val="00C0220A"/>
    <w:rsid w:val="00C03254"/>
    <w:rsid w:val="00C04C9C"/>
    <w:rsid w:val="00C06283"/>
    <w:rsid w:val="00C06DB4"/>
    <w:rsid w:val="00C10961"/>
    <w:rsid w:val="00C109B9"/>
    <w:rsid w:val="00C11799"/>
    <w:rsid w:val="00C1403F"/>
    <w:rsid w:val="00C15875"/>
    <w:rsid w:val="00C1736F"/>
    <w:rsid w:val="00C17727"/>
    <w:rsid w:val="00C17767"/>
    <w:rsid w:val="00C17F11"/>
    <w:rsid w:val="00C20110"/>
    <w:rsid w:val="00C20CB4"/>
    <w:rsid w:val="00C215B5"/>
    <w:rsid w:val="00C22F65"/>
    <w:rsid w:val="00C26926"/>
    <w:rsid w:val="00C27A3C"/>
    <w:rsid w:val="00C327E1"/>
    <w:rsid w:val="00C35A4B"/>
    <w:rsid w:val="00C3663A"/>
    <w:rsid w:val="00C37B4A"/>
    <w:rsid w:val="00C438B4"/>
    <w:rsid w:val="00C45CDF"/>
    <w:rsid w:val="00C45DDF"/>
    <w:rsid w:val="00C469D0"/>
    <w:rsid w:val="00C4795D"/>
    <w:rsid w:val="00C502D9"/>
    <w:rsid w:val="00C553B9"/>
    <w:rsid w:val="00C5639F"/>
    <w:rsid w:val="00C56881"/>
    <w:rsid w:val="00C57FF6"/>
    <w:rsid w:val="00C60AA4"/>
    <w:rsid w:val="00C61445"/>
    <w:rsid w:val="00C63601"/>
    <w:rsid w:val="00C63B87"/>
    <w:rsid w:val="00C642E6"/>
    <w:rsid w:val="00C647C8"/>
    <w:rsid w:val="00C64F9A"/>
    <w:rsid w:val="00C679EF"/>
    <w:rsid w:val="00C67E12"/>
    <w:rsid w:val="00C71A0B"/>
    <w:rsid w:val="00C72269"/>
    <w:rsid w:val="00C72F69"/>
    <w:rsid w:val="00C7598C"/>
    <w:rsid w:val="00C76831"/>
    <w:rsid w:val="00C7782F"/>
    <w:rsid w:val="00C80EF5"/>
    <w:rsid w:val="00C81926"/>
    <w:rsid w:val="00C82D2E"/>
    <w:rsid w:val="00C83F93"/>
    <w:rsid w:val="00C840D6"/>
    <w:rsid w:val="00C90CE7"/>
    <w:rsid w:val="00C90D44"/>
    <w:rsid w:val="00C91E24"/>
    <w:rsid w:val="00C93CF7"/>
    <w:rsid w:val="00C95677"/>
    <w:rsid w:val="00C96130"/>
    <w:rsid w:val="00CA008E"/>
    <w:rsid w:val="00CA1967"/>
    <w:rsid w:val="00CA4810"/>
    <w:rsid w:val="00CA4DAE"/>
    <w:rsid w:val="00CA7420"/>
    <w:rsid w:val="00CB3203"/>
    <w:rsid w:val="00CB3D6F"/>
    <w:rsid w:val="00CB462A"/>
    <w:rsid w:val="00CB56CA"/>
    <w:rsid w:val="00CB7606"/>
    <w:rsid w:val="00CC052A"/>
    <w:rsid w:val="00CC1B74"/>
    <w:rsid w:val="00CC2A8E"/>
    <w:rsid w:val="00CC3082"/>
    <w:rsid w:val="00CD668B"/>
    <w:rsid w:val="00CD739A"/>
    <w:rsid w:val="00CE159A"/>
    <w:rsid w:val="00CE2A25"/>
    <w:rsid w:val="00CE3208"/>
    <w:rsid w:val="00CE59DB"/>
    <w:rsid w:val="00CE5ACB"/>
    <w:rsid w:val="00CE76A3"/>
    <w:rsid w:val="00CF14A1"/>
    <w:rsid w:val="00CF1D20"/>
    <w:rsid w:val="00CF4DCB"/>
    <w:rsid w:val="00D00DE9"/>
    <w:rsid w:val="00D01C7A"/>
    <w:rsid w:val="00D02795"/>
    <w:rsid w:val="00D0309E"/>
    <w:rsid w:val="00D03E87"/>
    <w:rsid w:val="00D04B56"/>
    <w:rsid w:val="00D07EA6"/>
    <w:rsid w:val="00D12120"/>
    <w:rsid w:val="00D1414A"/>
    <w:rsid w:val="00D157D1"/>
    <w:rsid w:val="00D16008"/>
    <w:rsid w:val="00D171E9"/>
    <w:rsid w:val="00D22432"/>
    <w:rsid w:val="00D23D17"/>
    <w:rsid w:val="00D244F9"/>
    <w:rsid w:val="00D26A11"/>
    <w:rsid w:val="00D2789D"/>
    <w:rsid w:val="00D3035C"/>
    <w:rsid w:val="00D31549"/>
    <w:rsid w:val="00D31845"/>
    <w:rsid w:val="00D319C1"/>
    <w:rsid w:val="00D33124"/>
    <w:rsid w:val="00D33668"/>
    <w:rsid w:val="00D34460"/>
    <w:rsid w:val="00D34914"/>
    <w:rsid w:val="00D415C7"/>
    <w:rsid w:val="00D45674"/>
    <w:rsid w:val="00D46526"/>
    <w:rsid w:val="00D46831"/>
    <w:rsid w:val="00D50BDE"/>
    <w:rsid w:val="00D54635"/>
    <w:rsid w:val="00D55D18"/>
    <w:rsid w:val="00D56D11"/>
    <w:rsid w:val="00D57C2D"/>
    <w:rsid w:val="00D60F18"/>
    <w:rsid w:val="00D621D8"/>
    <w:rsid w:val="00D62EE9"/>
    <w:rsid w:val="00D666B1"/>
    <w:rsid w:val="00D67946"/>
    <w:rsid w:val="00D67A39"/>
    <w:rsid w:val="00D73EC7"/>
    <w:rsid w:val="00D745AD"/>
    <w:rsid w:val="00D74747"/>
    <w:rsid w:val="00D75E7A"/>
    <w:rsid w:val="00D77A77"/>
    <w:rsid w:val="00D83E99"/>
    <w:rsid w:val="00D87832"/>
    <w:rsid w:val="00D87BD0"/>
    <w:rsid w:val="00D92FA6"/>
    <w:rsid w:val="00D93206"/>
    <w:rsid w:val="00D9759E"/>
    <w:rsid w:val="00DA185B"/>
    <w:rsid w:val="00DA2723"/>
    <w:rsid w:val="00DA4427"/>
    <w:rsid w:val="00DA508C"/>
    <w:rsid w:val="00DA6DD7"/>
    <w:rsid w:val="00DB24B8"/>
    <w:rsid w:val="00DB2732"/>
    <w:rsid w:val="00DB3B9B"/>
    <w:rsid w:val="00DB4E30"/>
    <w:rsid w:val="00DB529D"/>
    <w:rsid w:val="00DB7FD7"/>
    <w:rsid w:val="00DC3000"/>
    <w:rsid w:val="00DC7509"/>
    <w:rsid w:val="00DD329B"/>
    <w:rsid w:val="00DD3CEF"/>
    <w:rsid w:val="00DD4771"/>
    <w:rsid w:val="00DD6D88"/>
    <w:rsid w:val="00DE049D"/>
    <w:rsid w:val="00DE2249"/>
    <w:rsid w:val="00DE39E6"/>
    <w:rsid w:val="00DE41C1"/>
    <w:rsid w:val="00DE515A"/>
    <w:rsid w:val="00DE73F9"/>
    <w:rsid w:val="00DF2535"/>
    <w:rsid w:val="00DF3B57"/>
    <w:rsid w:val="00DF3DBD"/>
    <w:rsid w:val="00DF418F"/>
    <w:rsid w:val="00DF59F2"/>
    <w:rsid w:val="00DF5B28"/>
    <w:rsid w:val="00DF6D73"/>
    <w:rsid w:val="00DF7796"/>
    <w:rsid w:val="00E00EE5"/>
    <w:rsid w:val="00E00F55"/>
    <w:rsid w:val="00E0244D"/>
    <w:rsid w:val="00E04FBB"/>
    <w:rsid w:val="00E065B2"/>
    <w:rsid w:val="00E0696C"/>
    <w:rsid w:val="00E076F9"/>
    <w:rsid w:val="00E12D12"/>
    <w:rsid w:val="00E13BC8"/>
    <w:rsid w:val="00E15D7E"/>
    <w:rsid w:val="00E1644B"/>
    <w:rsid w:val="00E168D9"/>
    <w:rsid w:val="00E2008A"/>
    <w:rsid w:val="00E203A6"/>
    <w:rsid w:val="00E26AD5"/>
    <w:rsid w:val="00E326A2"/>
    <w:rsid w:val="00E32713"/>
    <w:rsid w:val="00E32A7C"/>
    <w:rsid w:val="00E3369A"/>
    <w:rsid w:val="00E351B3"/>
    <w:rsid w:val="00E35A99"/>
    <w:rsid w:val="00E35CEC"/>
    <w:rsid w:val="00E375F2"/>
    <w:rsid w:val="00E37688"/>
    <w:rsid w:val="00E4187A"/>
    <w:rsid w:val="00E45EE0"/>
    <w:rsid w:val="00E47049"/>
    <w:rsid w:val="00E47573"/>
    <w:rsid w:val="00E47DDB"/>
    <w:rsid w:val="00E501D4"/>
    <w:rsid w:val="00E52372"/>
    <w:rsid w:val="00E5775E"/>
    <w:rsid w:val="00E60319"/>
    <w:rsid w:val="00E6283B"/>
    <w:rsid w:val="00E62952"/>
    <w:rsid w:val="00E66228"/>
    <w:rsid w:val="00E66EEC"/>
    <w:rsid w:val="00E702B7"/>
    <w:rsid w:val="00E70CC3"/>
    <w:rsid w:val="00E70E9E"/>
    <w:rsid w:val="00E71433"/>
    <w:rsid w:val="00E7214F"/>
    <w:rsid w:val="00E75DA9"/>
    <w:rsid w:val="00E82CB0"/>
    <w:rsid w:val="00E83306"/>
    <w:rsid w:val="00E85614"/>
    <w:rsid w:val="00E86AC2"/>
    <w:rsid w:val="00E86DFF"/>
    <w:rsid w:val="00E90BED"/>
    <w:rsid w:val="00E90F22"/>
    <w:rsid w:val="00E93430"/>
    <w:rsid w:val="00E9535F"/>
    <w:rsid w:val="00EA0CC1"/>
    <w:rsid w:val="00EA208B"/>
    <w:rsid w:val="00EA275D"/>
    <w:rsid w:val="00EA36A0"/>
    <w:rsid w:val="00EA69AB"/>
    <w:rsid w:val="00EB084B"/>
    <w:rsid w:val="00EB2F5F"/>
    <w:rsid w:val="00EB315D"/>
    <w:rsid w:val="00EB32B0"/>
    <w:rsid w:val="00EB3508"/>
    <w:rsid w:val="00EB51ED"/>
    <w:rsid w:val="00EB5737"/>
    <w:rsid w:val="00EC0413"/>
    <w:rsid w:val="00EC0F38"/>
    <w:rsid w:val="00EC1876"/>
    <w:rsid w:val="00EC32F4"/>
    <w:rsid w:val="00EC4834"/>
    <w:rsid w:val="00ED06F5"/>
    <w:rsid w:val="00ED15D4"/>
    <w:rsid w:val="00ED1D0F"/>
    <w:rsid w:val="00ED487C"/>
    <w:rsid w:val="00ED5521"/>
    <w:rsid w:val="00ED74AC"/>
    <w:rsid w:val="00EE1ABA"/>
    <w:rsid w:val="00EE1FEF"/>
    <w:rsid w:val="00EE3355"/>
    <w:rsid w:val="00EE49E8"/>
    <w:rsid w:val="00EE775B"/>
    <w:rsid w:val="00EE7A38"/>
    <w:rsid w:val="00EF162B"/>
    <w:rsid w:val="00EF1D9E"/>
    <w:rsid w:val="00EF4991"/>
    <w:rsid w:val="00EF4C9C"/>
    <w:rsid w:val="00EF5840"/>
    <w:rsid w:val="00EF6663"/>
    <w:rsid w:val="00EF7DB1"/>
    <w:rsid w:val="00F02750"/>
    <w:rsid w:val="00F039FA"/>
    <w:rsid w:val="00F04F12"/>
    <w:rsid w:val="00F124E8"/>
    <w:rsid w:val="00F156BC"/>
    <w:rsid w:val="00F171D2"/>
    <w:rsid w:val="00F20E3C"/>
    <w:rsid w:val="00F221F6"/>
    <w:rsid w:val="00F23DF6"/>
    <w:rsid w:val="00F26704"/>
    <w:rsid w:val="00F32A1E"/>
    <w:rsid w:val="00F34C0E"/>
    <w:rsid w:val="00F361C7"/>
    <w:rsid w:val="00F50698"/>
    <w:rsid w:val="00F508D1"/>
    <w:rsid w:val="00F50AE5"/>
    <w:rsid w:val="00F50B0D"/>
    <w:rsid w:val="00F50E7D"/>
    <w:rsid w:val="00F51F2F"/>
    <w:rsid w:val="00F668C9"/>
    <w:rsid w:val="00F6710F"/>
    <w:rsid w:val="00F67594"/>
    <w:rsid w:val="00F675FE"/>
    <w:rsid w:val="00F726ED"/>
    <w:rsid w:val="00F72E18"/>
    <w:rsid w:val="00F739B4"/>
    <w:rsid w:val="00F7454C"/>
    <w:rsid w:val="00F75C93"/>
    <w:rsid w:val="00F76458"/>
    <w:rsid w:val="00F81059"/>
    <w:rsid w:val="00F840B0"/>
    <w:rsid w:val="00F85A4A"/>
    <w:rsid w:val="00F86318"/>
    <w:rsid w:val="00F87DBE"/>
    <w:rsid w:val="00F90299"/>
    <w:rsid w:val="00F91456"/>
    <w:rsid w:val="00F91FBB"/>
    <w:rsid w:val="00F92907"/>
    <w:rsid w:val="00F96A2F"/>
    <w:rsid w:val="00F97021"/>
    <w:rsid w:val="00FA1BDC"/>
    <w:rsid w:val="00FA3206"/>
    <w:rsid w:val="00FA3B9E"/>
    <w:rsid w:val="00FA5AC5"/>
    <w:rsid w:val="00FA7E5C"/>
    <w:rsid w:val="00FB01B1"/>
    <w:rsid w:val="00FB071C"/>
    <w:rsid w:val="00FB07F7"/>
    <w:rsid w:val="00FB37DD"/>
    <w:rsid w:val="00FB40AB"/>
    <w:rsid w:val="00FB4C4F"/>
    <w:rsid w:val="00FB6A21"/>
    <w:rsid w:val="00FB6D2A"/>
    <w:rsid w:val="00FC342A"/>
    <w:rsid w:val="00FC50EA"/>
    <w:rsid w:val="00FC56EE"/>
    <w:rsid w:val="00FD3BD8"/>
    <w:rsid w:val="00FD3D62"/>
    <w:rsid w:val="00FD5613"/>
    <w:rsid w:val="00FD636F"/>
    <w:rsid w:val="00FE074A"/>
    <w:rsid w:val="00FE1F72"/>
    <w:rsid w:val="00FE445F"/>
    <w:rsid w:val="00FE57FD"/>
    <w:rsid w:val="00FE76AA"/>
    <w:rsid w:val="00FF3BAB"/>
    <w:rsid w:val="00FF3CE1"/>
    <w:rsid w:val="00FF5B7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CA334878-3432-4603-979E-6B04C40C54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F5F47"/>
    <w:pPr>
      <w:spacing w:after="120"/>
    </w:pPr>
    <w:rPr>
      <w:rFonts w:eastAsia="Times New Roman" w:cs="Calibri"/>
      <w:sz w:val="22"/>
      <w:szCs w:val="22"/>
      <w:lang w:eastAsia="en-US"/>
    </w:rPr>
  </w:style>
  <w:style w:type="paragraph" w:styleId="1">
    <w:name w:val="heading 1"/>
    <w:basedOn w:val="a"/>
    <w:next w:val="a"/>
    <w:link w:val="10"/>
    <w:qFormat/>
    <w:locked/>
    <w:rsid w:val="00283A87"/>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nhideWhenUsed/>
    <w:qFormat/>
    <w:locked/>
    <w:rsid w:val="009923F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
    <w:name w:val="Абзац списка11"/>
    <w:basedOn w:val="a"/>
    <w:uiPriority w:val="99"/>
    <w:rsid w:val="002F5F47"/>
    <w:pPr>
      <w:overflowPunct w:val="0"/>
      <w:autoSpaceDE w:val="0"/>
      <w:autoSpaceDN w:val="0"/>
      <w:adjustRightInd w:val="0"/>
      <w:spacing w:after="0"/>
      <w:ind w:left="720"/>
    </w:pPr>
    <w:rPr>
      <w:rFonts w:ascii="Times New Roman" w:hAnsi="Times New Roman" w:cs="Times New Roman"/>
      <w:sz w:val="28"/>
      <w:szCs w:val="28"/>
      <w:lang w:val="uk-UA" w:eastAsia="ru-RU"/>
    </w:rPr>
  </w:style>
  <w:style w:type="paragraph" w:styleId="a3">
    <w:name w:val="Balloon Text"/>
    <w:basedOn w:val="a"/>
    <w:link w:val="a4"/>
    <w:uiPriority w:val="99"/>
    <w:semiHidden/>
    <w:rsid w:val="002F5F47"/>
    <w:pPr>
      <w:spacing w:after="0"/>
    </w:pPr>
    <w:rPr>
      <w:rFonts w:ascii="Tahoma" w:eastAsia="Calibri" w:hAnsi="Tahoma" w:cs="Times New Roman"/>
      <w:sz w:val="16"/>
      <w:szCs w:val="16"/>
    </w:rPr>
  </w:style>
  <w:style w:type="paragraph" w:styleId="a5">
    <w:name w:val="List Paragraph"/>
    <w:basedOn w:val="a"/>
    <w:uiPriority w:val="34"/>
    <w:qFormat/>
    <w:rsid w:val="00E52372"/>
    <w:pPr>
      <w:spacing w:after="200" w:line="276" w:lineRule="auto"/>
      <w:ind w:left="720"/>
      <w:contextualSpacing/>
    </w:pPr>
    <w:rPr>
      <w:rFonts w:eastAsia="Calibri" w:cs="Times New Roman"/>
      <w:lang w:val="uk-UA"/>
    </w:rPr>
  </w:style>
  <w:style w:type="character" w:customStyle="1" w:styleId="a4">
    <w:name w:val="Текст выноски Знак"/>
    <w:link w:val="a3"/>
    <w:uiPriority w:val="99"/>
    <w:semiHidden/>
    <w:locked/>
    <w:rsid w:val="002F5F47"/>
    <w:rPr>
      <w:rFonts w:ascii="Tahoma" w:hAnsi="Tahoma" w:cs="Tahoma"/>
      <w:sz w:val="16"/>
      <w:szCs w:val="16"/>
    </w:rPr>
  </w:style>
  <w:style w:type="paragraph" w:styleId="a6">
    <w:name w:val="caption"/>
    <w:basedOn w:val="a"/>
    <w:next w:val="a"/>
    <w:uiPriority w:val="99"/>
    <w:qFormat/>
    <w:locked/>
    <w:rsid w:val="00BE2C61"/>
    <w:rPr>
      <w:b/>
      <w:bCs/>
      <w:sz w:val="20"/>
      <w:szCs w:val="20"/>
    </w:rPr>
  </w:style>
  <w:style w:type="paragraph" w:styleId="a7">
    <w:name w:val="Normal (Web)"/>
    <w:basedOn w:val="a"/>
    <w:uiPriority w:val="99"/>
    <w:rsid w:val="00DE515A"/>
    <w:pPr>
      <w:spacing w:before="100" w:beforeAutospacing="1" w:after="100" w:afterAutospacing="1"/>
    </w:pPr>
    <w:rPr>
      <w:rFonts w:ascii="Times New Roman" w:hAnsi="Times New Roman" w:cs="Times New Roman"/>
      <w:sz w:val="24"/>
      <w:szCs w:val="24"/>
      <w:lang w:val="uk-UA" w:eastAsia="uk-UA"/>
    </w:rPr>
  </w:style>
  <w:style w:type="paragraph" w:styleId="a8">
    <w:name w:val="header"/>
    <w:basedOn w:val="a"/>
    <w:link w:val="a9"/>
    <w:uiPriority w:val="99"/>
    <w:rsid w:val="00842023"/>
    <w:pPr>
      <w:tabs>
        <w:tab w:val="center" w:pos="4677"/>
        <w:tab w:val="right" w:pos="9355"/>
      </w:tabs>
      <w:spacing w:after="200" w:line="276" w:lineRule="auto"/>
    </w:pPr>
    <w:rPr>
      <w:rFonts w:cs="Times New Roman"/>
      <w:szCs w:val="20"/>
      <w:lang w:eastAsia="ru-RU"/>
    </w:rPr>
  </w:style>
  <w:style w:type="character" w:customStyle="1" w:styleId="a9">
    <w:name w:val="Верхний колонтитул Знак"/>
    <w:basedOn w:val="a0"/>
    <w:link w:val="a8"/>
    <w:uiPriority w:val="99"/>
    <w:rsid w:val="00842023"/>
    <w:rPr>
      <w:rFonts w:eastAsia="Times New Roman"/>
      <w:sz w:val="22"/>
    </w:rPr>
  </w:style>
  <w:style w:type="character" w:styleId="aa">
    <w:name w:val="Strong"/>
    <w:basedOn w:val="a0"/>
    <w:uiPriority w:val="22"/>
    <w:qFormat/>
    <w:locked/>
    <w:rsid w:val="005B0F32"/>
    <w:rPr>
      <w:b/>
      <w:bCs/>
    </w:rPr>
  </w:style>
  <w:style w:type="paragraph" w:customStyle="1" w:styleId="ab">
    <w:name w:val="Нормальний текст"/>
    <w:basedOn w:val="a"/>
    <w:uiPriority w:val="99"/>
    <w:rsid w:val="005B0F32"/>
    <w:pPr>
      <w:autoSpaceDE w:val="0"/>
      <w:autoSpaceDN w:val="0"/>
      <w:spacing w:before="120" w:after="0"/>
      <w:ind w:firstLine="567"/>
    </w:pPr>
    <w:rPr>
      <w:rFonts w:ascii="Antiqua" w:eastAsia="Calibri" w:hAnsi="Antiqua" w:cs="Antiqua"/>
      <w:kern w:val="24"/>
      <w:position w:val="1"/>
      <w:sz w:val="26"/>
      <w:szCs w:val="26"/>
      <w:lang w:val="uk-UA" w:eastAsia="ru-RU"/>
    </w:rPr>
  </w:style>
  <w:style w:type="paragraph" w:customStyle="1" w:styleId="ac">
    <w:name w:val="Базовый"/>
    <w:uiPriority w:val="99"/>
    <w:rsid w:val="005B0F32"/>
    <w:pPr>
      <w:tabs>
        <w:tab w:val="left" w:pos="709"/>
      </w:tabs>
      <w:suppressAutoHyphens/>
      <w:spacing w:after="200" w:line="276" w:lineRule="atLeast"/>
    </w:pPr>
    <w:rPr>
      <w:rFonts w:eastAsia="Times New Roman" w:cs="Calibri"/>
      <w:kern w:val="24"/>
      <w:position w:val="1"/>
      <w:sz w:val="28"/>
      <w:szCs w:val="28"/>
      <w:lang w:val="uk-UA" w:eastAsia="ja-JP"/>
    </w:rPr>
  </w:style>
  <w:style w:type="paragraph" w:customStyle="1" w:styleId="12">
    <w:name w:val="Абзац списка1"/>
    <w:basedOn w:val="a"/>
    <w:uiPriority w:val="99"/>
    <w:rsid w:val="005B0F32"/>
    <w:pPr>
      <w:widowControl w:val="0"/>
      <w:autoSpaceDE w:val="0"/>
      <w:autoSpaceDN w:val="0"/>
      <w:adjustRightInd w:val="0"/>
      <w:spacing w:after="0"/>
      <w:ind w:left="720"/>
    </w:pPr>
    <w:rPr>
      <w:rFonts w:ascii="Times New Roman" w:eastAsia="Calibri" w:hAnsi="Times New Roman" w:cs="Times New Roman"/>
      <w:kern w:val="24"/>
      <w:position w:val="1"/>
      <w:sz w:val="20"/>
      <w:szCs w:val="20"/>
      <w:lang w:val="uk-UA" w:eastAsia="ru-RU"/>
    </w:rPr>
  </w:style>
  <w:style w:type="paragraph" w:customStyle="1" w:styleId="21">
    <w:name w:val="Абзац списка2"/>
    <w:basedOn w:val="a"/>
    <w:uiPriority w:val="99"/>
    <w:rsid w:val="005B0F32"/>
    <w:pPr>
      <w:widowControl w:val="0"/>
      <w:autoSpaceDE w:val="0"/>
      <w:autoSpaceDN w:val="0"/>
      <w:adjustRightInd w:val="0"/>
      <w:spacing w:after="0"/>
      <w:ind w:left="720"/>
    </w:pPr>
    <w:rPr>
      <w:rFonts w:ascii="Times New Roman" w:eastAsia="Calibri" w:hAnsi="Times New Roman" w:cs="Times New Roman"/>
      <w:kern w:val="24"/>
      <w:position w:val="1"/>
      <w:sz w:val="20"/>
      <w:szCs w:val="20"/>
      <w:lang w:val="uk-UA" w:eastAsia="ru-RU"/>
    </w:rPr>
  </w:style>
  <w:style w:type="paragraph" w:customStyle="1" w:styleId="Default">
    <w:name w:val="Default"/>
    <w:rsid w:val="005B0F32"/>
    <w:pPr>
      <w:autoSpaceDE w:val="0"/>
      <w:autoSpaceDN w:val="0"/>
      <w:adjustRightInd w:val="0"/>
      <w:spacing w:after="120"/>
    </w:pPr>
    <w:rPr>
      <w:rFonts w:ascii="Times New Roman" w:eastAsia="Times New Roman" w:hAnsi="Times New Roman"/>
      <w:color w:val="000000"/>
      <w:kern w:val="24"/>
      <w:position w:val="1"/>
      <w:sz w:val="24"/>
      <w:szCs w:val="24"/>
      <w:lang w:eastAsia="en-US"/>
    </w:rPr>
  </w:style>
  <w:style w:type="paragraph" w:styleId="ad">
    <w:name w:val="footer"/>
    <w:basedOn w:val="a"/>
    <w:link w:val="ae"/>
    <w:uiPriority w:val="99"/>
    <w:rsid w:val="005B0F32"/>
    <w:pPr>
      <w:tabs>
        <w:tab w:val="center" w:pos="4677"/>
        <w:tab w:val="right" w:pos="9355"/>
      </w:tabs>
    </w:pPr>
    <w:rPr>
      <w:rFonts w:ascii="Times New Roman" w:eastAsia="Calibri" w:hAnsi="Times New Roman" w:cs="Times New Roman"/>
      <w:kern w:val="24"/>
      <w:position w:val="1"/>
      <w:sz w:val="28"/>
      <w:szCs w:val="28"/>
      <w:lang w:val="uk-UA" w:eastAsia="uk-UA"/>
    </w:rPr>
  </w:style>
  <w:style w:type="character" w:customStyle="1" w:styleId="ae">
    <w:name w:val="Нижний колонтитул Знак"/>
    <w:basedOn w:val="a0"/>
    <w:link w:val="ad"/>
    <w:uiPriority w:val="99"/>
    <w:rsid w:val="005B0F32"/>
    <w:rPr>
      <w:rFonts w:ascii="Times New Roman" w:hAnsi="Times New Roman"/>
      <w:kern w:val="24"/>
      <w:position w:val="1"/>
      <w:sz w:val="28"/>
      <w:szCs w:val="28"/>
      <w:lang w:val="uk-UA" w:eastAsia="uk-UA"/>
    </w:rPr>
  </w:style>
  <w:style w:type="paragraph" w:customStyle="1" w:styleId="13">
    <w:name w:val="Без интервала1"/>
    <w:link w:val="NoSpacingChar"/>
    <w:uiPriority w:val="99"/>
    <w:rsid w:val="005B0F32"/>
    <w:pPr>
      <w:spacing w:after="120"/>
    </w:pPr>
    <w:rPr>
      <w:rFonts w:cs="Calibri"/>
      <w:kern w:val="24"/>
      <w:position w:val="1"/>
      <w:sz w:val="28"/>
      <w:szCs w:val="28"/>
    </w:rPr>
  </w:style>
  <w:style w:type="paragraph" w:customStyle="1" w:styleId="Normal1">
    <w:name w:val="Normal1"/>
    <w:uiPriority w:val="99"/>
    <w:rsid w:val="005B0F32"/>
    <w:pPr>
      <w:snapToGrid w:val="0"/>
      <w:spacing w:after="120"/>
    </w:pPr>
    <w:rPr>
      <w:rFonts w:cs="Calibri"/>
      <w:kern w:val="24"/>
      <w:position w:val="1"/>
    </w:rPr>
  </w:style>
  <w:style w:type="table" w:styleId="af">
    <w:name w:val="Table Grid"/>
    <w:basedOn w:val="a1"/>
    <w:uiPriority w:val="59"/>
    <w:locked/>
    <w:rsid w:val="005B0F32"/>
    <w:rPr>
      <w:rFonts w:ascii="Times New Roman" w:eastAsia="Times New Roman" w:hAnsi="Times New Roman"/>
      <w:kern w:val="24"/>
      <w:position w:val="1"/>
      <w:lang w:val="uk-UA"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Hyperlink"/>
    <w:basedOn w:val="a0"/>
    <w:uiPriority w:val="99"/>
    <w:rsid w:val="005B0F32"/>
    <w:rPr>
      <w:color w:val="0000FF"/>
      <w:u w:val="single"/>
    </w:rPr>
  </w:style>
  <w:style w:type="character" w:customStyle="1" w:styleId="apple-style-span">
    <w:name w:val="apple-style-span"/>
    <w:rsid w:val="005B0F32"/>
  </w:style>
  <w:style w:type="character" w:customStyle="1" w:styleId="xfm48974950">
    <w:name w:val="xfm_48974950"/>
    <w:uiPriority w:val="99"/>
    <w:rsid w:val="005B0F32"/>
  </w:style>
  <w:style w:type="character" w:customStyle="1" w:styleId="NoSpacingChar">
    <w:name w:val="No Spacing Char"/>
    <w:link w:val="13"/>
    <w:uiPriority w:val="99"/>
    <w:locked/>
    <w:rsid w:val="005B0F32"/>
    <w:rPr>
      <w:rFonts w:cs="Calibri"/>
      <w:kern w:val="24"/>
      <w:position w:val="1"/>
      <w:sz w:val="28"/>
      <w:szCs w:val="28"/>
    </w:rPr>
  </w:style>
  <w:style w:type="character" w:customStyle="1" w:styleId="rvts0">
    <w:name w:val="rvts0"/>
    <w:uiPriority w:val="99"/>
    <w:rsid w:val="005B0F32"/>
  </w:style>
  <w:style w:type="paragraph" w:styleId="af1">
    <w:name w:val="Body Text Indent"/>
    <w:basedOn w:val="a"/>
    <w:link w:val="af2"/>
    <w:uiPriority w:val="99"/>
    <w:rsid w:val="005B0F32"/>
    <w:pPr>
      <w:ind w:left="360"/>
    </w:pPr>
    <w:rPr>
      <w:rFonts w:ascii="TimesET" w:eastAsia="Calibri" w:hAnsi="TimesET" w:cs="TimesET"/>
      <w:b/>
      <w:bCs/>
      <w:kern w:val="24"/>
      <w:position w:val="1"/>
      <w:sz w:val="20"/>
      <w:szCs w:val="20"/>
      <w:lang w:val="uk-UA" w:eastAsia="ru-RU"/>
    </w:rPr>
  </w:style>
  <w:style w:type="character" w:customStyle="1" w:styleId="af2">
    <w:name w:val="Основной текст с отступом Знак"/>
    <w:basedOn w:val="a0"/>
    <w:link w:val="af1"/>
    <w:uiPriority w:val="99"/>
    <w:rsid w:val="005B0F32"/>
    <w:rPr>
      <w:rFonts w:ascii="TimesET" w:hAnsi="TimesET" w:cs="TimesET"/>
      <w:b/>
      <w:bCs/>
      <w:kern w:val="24"/>
      <w:position w:val="1"/>
      <w:lang w:val="uk-UA"/>
    </w:rPr>
  </w:style>
  <w:style w:type="character" w:customStyle="1" w:styleId="rvts44">
    <w:name w:val="rvts44"/>
    <w:basedOn w:val="a0"/>
    <w:uiPriority w:val="99"/>
    <w:rsid w:val="005B0F32"/>
  </w:style>
  <w:style w:type="paragraph" w:styleId="af3">
    <w:name w:val="footnote text"/>
    <w:basedOn w:val="a"/>
    <w:link w:val="af4"/>
    <w:uiPriority w:val="99"/>
    <w:semiHidden/>
    <w:rsid w:val="005B0F32"/>
    <w:rPr>
      <w:rFonts w:ascii="Times New Roman" w:eastAsia="Calibri" w:hAnsi="Times New Roman" w:cs="Times New Roman"/>
      <w:kern w:val="24"/>
      <w:position w:val="1"/>
      <w:sz w:val="20"/>
      <w:szCs w:val="20"/>
      <w:lang w:val="uk-UA" w:eastAsia="uk-UA"/>
    </w:rPr>
  </w:style>
  <w:style w:type="character" w:customStyle="1" w:styleId="af4">
    <w:name w:val="Текст сноски Знак"/>
    <w:basedOn w:val="a0"/>
    <w:link w:val="af3"/>
    <w:uiPriority w:val="99"/>
    <w:semiHidden/>
    <w:rsid w:val="005B0F32"/>
    <w:rPr>
      <w:rFonts w:ascii="Times New Roman" w:hAnsi="Times New Roman"/>
      <w:kern w:val="24"/>
      <w:position w:val="1"/>
      <w:lang w:val="uk-UA" w:eastAsia="uk-UA"/>
    </w:rPr>
  </w:style>
  <w:style w:type="character" w:styleId="af5">
    <w:name w:val="footnote reference"/>
    <w:basedOn w:val="a0"/>
    <w:uiPriority w:val="99"/>
    <w:semiHidden/>
    <w:rsid w:val="005B0F32"/>
    <w:rPr>
      <w:vertAlign w:val="superscript"/>
    </w:rPr>
  </w:style>
  <w:style w:type="paragraph" w:customStyle="1" w:styleId="14">
    <w:name w:val="Абзац списку1"/>
    <w:basedOn w:val="a"/>
    <w:uiPriority w:val="99"/>
    <w:rsid w:val="005B0F32"/>
    <w:pPr>
      <w:widowControl w:val="0"/>
      <w:autoSpaceDE w:val="0"/>
      <w:autoSpaceDN w:val="0"/>
      <w:adjustRightInd w:val="0"/>
      <w:spacing w:after="0"/>
      <w:ind w:left="720"/>
    </w:pPr>
    <w:rPr>
      <w:rFonts w:ascii="Times New Roman" w:eastAsia="Calibri" w:hAnsi="Times New Roman" w:cs="Times New Roman"/>
      <w:kern w:val="24"/>
      <w:position w:val="1"/>
      <w:sz w:val="20"/>
      <w:szCs w:val="20"/>
      <w:lang w:val="uk-UA" w:eastAsia="ru-RU"/>
    </w:rPr>
  </w:style>
  <w:style w:type="character" w:styleId="af6">
    <w:name w:val="Emphasis"/>
    <w:basedOn w:val="a0"/>
    <w:uiPriority w:val="20"/>
    <w:qFormat/>
    <w:locked/>
    <w:rsid w:val="005B0F32"/>
    <w:rPr>
      <w:i/>
      <w:iCs/>
    </w:rPr>
  </w:style>
  <w:style w:type="character" w:customStyle="1" w:styleId="s41">
    <w:name w:val="s41"/>
    <w:uiPriority w:val="99"/>
    <w:rsid w:val="005B0F32"/>
    <w:rPr>
      <w:b/>
      <w:bCs/>
      <w:i/>
      <w:iCs/>
    </w:rPr>
  </w:style>
  <w:style w:type="paragraph" w:customStyle="1" w:styleId="3">
    <w:name w:val="Абзац списка3"/>
    <w:basedOn w:val="a"/>
    <w:uiPriority w:val="99"/>
    <w:rsid w:val="005B0F32"/>
    <w:pPr>
      <w:ind w:left="720"/>
    </w:pPr>
    <w:rPr>
      <w:rFonts w:ascii="Times New Roman" w:eastAsia="Calibri" w:hAnsi="Times New Roman" w:cs="Times New Roman"/>
      <w:kern w:val="24"/>
      <w:position w:val="1"/>
      <w:sz w:val="28"/>
      <w:szCs w:val="28"/>
      <w:lang w:val="uk-UA" w:eastAsia="uk-UA"/>
    </w:rPr>
  </w:style>
  <w:style w:type="paragraph" w:styleId="af7">
    <w:name w:val="Revision"/>
    <w:hidden/>
    <w:uiPriority w:val="99"/>
    <w:semiHidden/>
    <w:rsid w:val="005B0F32"/>
    <w:rPr>
      <w:rFonts w:eastAsia="Times New Roman" w:cs="Calibri"/>
      <w:kern w:val="24"/>
      <w:position w:val="1"/>
      <w:sz w:val="28"/>
      <w:szCs w:val="28"/>
      <w:lang w:eastAsia="en-US"/>
    </w:rPr>
  </w:style>
  <w:style w:type="character" w:customStyle="1" w:styleId="st">
    <w:name w:val="st"/>
    <w:basedOn w:val="a0"/>
    <w:rsid w:val="005B0F32"/>
  </w:style>
  <w:style w:type="paragraph" w:customStyle="1" w:styleId="BodyTextIndent1">
    <w:name w:val="Body Text Indent1"/>
    <w:basedOn w:val="a"/>
    <w:uiPriority w:val="99"/>
    <w:rsid w:val="005B0F32"/>
    <w:pPr>
      <w:ind w:left="283"/>
    </w:pPr>
    <w:rPr>
      <w:rFonts w:ascii="Times New Roman" w:eastAsia="Calibri" w:hAnsi="Times New Roman" w:cs="Times New Roman"/>
      <w:kern w:val="24"/>
      <w:position w:val="1"/>
      <w:sz w:val="24"/>
      <w:szCs w:val="24"/>
      <w:lang w:val="uk-UA" w:eastAsia="ru-RU"/>
    </w:rPr>
  </w:style>
  <w:style w:type="paragraph" w:styleId="af8">
    <w:name w:val="No Spacing"/>
    <w:uiPriority w:val="1"/>
    <w:qFormat/>
    <w:rsid w:val="005B0F32"/>
    <w:rPr>
      <w:rFonts w:asciiTheme="minorHAnsi" w:eastAsiaTheme="minorEastAsia" w:hAnsiTheme="minorHAnsi" w:cstheme="minorBidi"/>
      <w:kern w:val="24"/>
      <w:position w:val="1"/>
      <w:sz w:val="28"/>
      <w:szCs w:val="28"/>
      <w:lang w:val="uk-UA" w:eastAsia="uk-UA"/>
    </w:rPr>
  </w:style>
  <w:style w:type="table" w:customStyle="1" w:styleId="15">
    <w:name w:val="Сетка таблицы1"/>
    <w:basedOn w:val="a1"/>
    <w:next w:val="af"/>
    <w:uiPriority w:val="59"/>
    <w:rsid w:val="005B0F32"/>
    <w:rPr>
      <w:rFonts w:asciiTheme="minorHAnsi" w:eastAsiaTheme="minorHAnsi" w:hAnsiTheme="minorHAnsi" w:cstheme="minorBidi"/>
      <w:kern w:val="24"/>
      <w:position w:val="1"/>
      <w:sz w:val="28"/>
      <w:szCs w:val="2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6">
    <w:name w:val="Незакрита згадка1"/>
    <w:basedOn w:val="a0"/>
    <w:uiPriority w:val="99"/>
    <w:semiHidden/>
    <w:unhideWhenUsed/>
    <w:rsid w:val="005B0F32"/>
    <w:rPr>
      <w:color w:val="605E5C"/>
      <w:shd w:val="clear" w:color="auto" w:fill="E1DFDD"/>
    </w:rPr>
  </w:style>
  <w:style w:type="character" w:styleId="af9">
    <w:name w:val="annotation reference"/>
    <w:basedOn w:val="a0"/>
    <w:uiPriority w:val="99"/>
    <w:semiHidden/>
    <w:unhideWhenUsed/>
    <w:rsid w:val="005B0F32"/>
    <w:rPr>
      <w:sz w:val="16"/>
      <w:szCs w:val="16"/>
    </w:rPr>
  </w:style>
  <w:style w:type="paragraph" w:styleId="afa">
    <w:name w:val="annotation text"/>
    <w:basedOn w:val="a"/>
    <w:link w:val="afb"/>
    <w:uiPriority w:val="99"/>
    <w:semiHidden/>
    <w:unhideWhenUsed/>
    <w:rsid w:val="005B0F32"/>
    <w:rPr>
      <w:rFonts w:ascii="Times New Roman" w:eastAsia="Calibri" w:hAnsi="Times New Roman" w:cs="Times New Roman"/>
      <w:kern w:val="24"/>
      <w:position w:val="1"/>
      <w:sz w:val="20"/>
      <w:szCs w:val="20"/>
      <w:lang w:val="uk-UA" w:eastAsia="uk-UA"/>
    </w:rPr>
  </w:style>
  <w:style w:type="character" w:customStyle="1" w:styleId="afb">
    <w:name w:val="Текст примечания Знак"/>
    <w:basedOn w:val="a0"/>
    <w:link w:val="afa"/>
    <w:uiPriority w:val="99"/>
    <w:semiHidden/>
    <w:rsid w:val="005B0F32"/>
    <w:rPr>
      <w:rFonts w:ascii="Times New Roman" w:hAnsi="Times New Roman"/>
      <w:kern w:val="24"/>
      <w:position w:val="1"/>
      <w:lang w:val="uk-UA" w:eastAsia="uk-UA"/>
    </w:rPr>
  </w:style>
  <w:style w:type="paragraph" w:styleId="afc">
    <w:name w:val="annotation subject"/>
    <w:basedOn w:val="afa"/>
    <w:next w:val="afa"/>
    <w:link w:val="afd"/>
    <w:uiPriority w:val="99"/>
    <w:semiHidden/>
    <w:unhideWhenUsed/>
    <w:rsid w:val="005B0F32"/>
    <w:rPr>
      <w:b/>
    </w:rPr>
  </w:style>
  <w:style w:type="character" w:customStyle="1" w:styleId="afd">
    <w:name w:val="Тема примечания Знак"/>
    <w:basedOn w:val="afb"/>
    <w:link w:val="afc"/>
    <w:uiPriority w:val="99"/>
    <w:semiHidden/>
    <w:rsid w:val="005B0F32"/>
    <w:rPr>
      <w:rFonts w:ascii="Times New Roman" w:hAnsi="Times New Roman"/>
      <w:b/>
      <w:kern w:val="24"/>
      <w:position w:val="1"/>
      <w:lang w:val="uk-UA" w:eastAsia="uk-UA"/>
    </w:rPr>
  </w:style>
  <w:style w:type="character" w:styleId="afe">
    <w:name w:val="Intense Emphasis"/>
    <w:basedOn w:val="a0"/>
    <w:uiPriority w:val="21"/>
    <w:qFormat/>
    <w:rsid w:val="005B0F32"/>
    <w:rPr>
      <w:b/>
      <w:bCs/>
      <w:i/>
      <w:iCs/>
      <w:color w:val="5B9BD5" w:themeColor="accent1"/>
    </w:rPr>
  </w:style>
  <w:style w:type="table" w:customStyle="1" w:styleId="22">
    <w:name w:val="Сетка таблицы2"/>
    <w:basedOn w:val="a1"/>
    <w:next w:val="af"/>
    <w:uiPriority w:val="59"/>
    <w:rsid w:val="005B0F32"/>
    <w:rPr>
      <w:bCs/>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5B0F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sz w:val="20"/>
      <w:szCs w:val="20"/>
      <w:lang w:eastAsia="ru-RU"/>
    </w:rPr>
  </w:style>
  <w:style w:type="character" w:customStyle="1" w:styleId="HTML0">
    <w:name w:val="Стандартный HTML Знак"/>
    <w:basedOn w:val="a0"/>
    <w:link w:val="HTML"/>
    <w:uiPriority w:val="99"/>
    <w:rsid w:val="005B0F32"/>
    <w:rPr>
      <w:rFonts w:ascii="Courier New" w:eastAsia="Times New Roman" w:hAnsi="Courier New" w:cs="Courier New"/>
    </w:rPr>
  </w:style>
  <w:style w:type="character" w:customStyle="1" w:styleId="xfm46151920">
    <w:name w:val="xfm_46151920"/>
    <w:basedOn w:val="a0"/>
    <w:rsid w:val="005B0F32"/>
  </w:style>
  <w:style w:type="character" w:customStyle="1" w:styleId="20">
    <w:name w:val="Заголовок 2 Знак"/>
    <w:basedOn w:val="a0"/>
    <w:link w:val="2"/>
    <w:rsid w:val="009923FC"/>
    <w:rPr>
      <w:rFonts w:asciiTheme="majorHAnsi" w:eastAsiaTheme="majorEastAsia" w:hAnsiTheme="majorHAnsi" w:cstheme="majorBidi"/>
      <w:color w:val="2E74B5" w:themeColor="accent1" w:themeShade="BF"/>
      <w:sz w:val="26"/>
      <w:szCs w:val="26"/>
      <w:lang w:eastAsia="en-US"/>
    </w:rPr>
  </w:style>
  <w:style w:type="character" w:customStyle="1" w:styleId="10">
    <w:name w:val="Заголовок 1 Знак"/>
    <w:basedOn w:val="a0"/>
    <w:link w:val="1"/>
    <w:rsid w:val="00283A87"/>
    <w:rPr>
      <w:rFonts w:asciiTheme="majorHAnsi" w:eastAsiaTheme="majorEastAsia" w:hAnsiTheme="majorHAnsi" w:cstheme="majorBidi"/>
      <w:b/>
      <w:bCs/>
      <w:color w:val="2E74B5" w:themeColor="accent1" w:themeShade="BF"/>
      <w:sz w:val="28"/>
      <w:szCs w:val="28"/>
      <w:lang w:eastAsia="en-US"/>
    </w:rPr>
  </w:style>
  <w:style w:type="character" w:customStyle="1" w:styleId="markedcontent">
    <w:name w:val="markedcontent"/>
    <w:basedOn w:val="a0"/>
    <w:rsid w:val="002949C7"/>
  </w:style>
  <w:style w:type="paragraph" w:customStyle="1" w:styleId="CarCharCarCharCarCharCarCharCharChar">
    <w:name w:val="Car Char Car Char Car Char Car Char Char Char Знак Знак"/>
    <w:basedOn w:val="a"/>
    <w:rsid w:val="009C6BAE"/>
    <w:pPr>
      <w:spacing w:after="160" w:line="240" w:lineRule="exact"/>
    </w:pPr>
    <w:rPr>
      <w:rFonts w:ascii="Arial" w:hAnsi="Arial" w:cs="Arial"/>
      <w:sz w:val="20"/>
      <w:szCs w:val="20"/>
      <w:lang w:val="en-GB"/>
    </w:rPr>
  </w:style>
  <w:style w:type="table" w:customStyle="1" w:styleId="17">
    <w:name w:val="Сітка таблиці1"/>
    <w:basedOn w:val="a1"/>
    <w:next w:val="af"/>
    <w:rsid w:val="00037561"/>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
    <w:name w:val="Немає списку1"/>
    <w:next w:val="a2"/>
    <w:uiPriority w:val="99"/>
    <w:semiHidden/>
    <w:unhideWhenUsed/>
    <w:rsid w:val="007835DF"/>
  </w:style>
  <w:style w:type="table" w:customStyle="1" w:styleId="23">
    <w:name w:val="Сітка таблиці2"/>
    <w:basedOn w:val="a1"/>
    <w:next w:val="af"/>
    <w:locked/>
    <w:rsid w:val="007835DF"/>
    <w:rPr>
      <w:rFonts w:ascii="Times New Roman" w:eastAsia="Times New Roman" w:hAnsi="Times New Roman"/>
      <w:kern w:val="24"/>
      <w:position w:val="1"/>
      <w:lang w:val="uk-UA" w:eastAsia="uk-U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f"/>
    <w:uiPriority w:val="59"/>
    <w:rsid w:val="007835DF"/>
    <w:rPr>
      <w:rFonts w:asciiTheme="minorHAnsi" w:eastAsiaTheme="minorHAnsi" w:hAnsiTheme="minorHAnsi" w:cstheme="minorBidi"/>
      <w:kern w:val="24"/>
      <w:position w:val="1"/>
      <w:sz w:val="28"/>
      <w:szCs w:val="28"/>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1"/>
    <w:next w:val="af"/>
    <w:uiPriority w:val="59"/>
    <w:rsid w:val="007835DF"/>
    <w:rPr>
      <w:bCs/>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ocdata">
    <w:name w:val="docdata"/>
    <w:aliases w:val="docy,v5,4120,baiaagaaboqcaaadjwgaaavydaaaaaaaaaaaaaaaaaaaaaaaaaaaaaaaaaaaaaaaaaaaaaaaaaaaaaaaaaaaaaaaaaaaaaaaaaaaaaaaaaaaaaaaaaaaaaaaaaaaaaaaaaaaaaaaaaaaaaaaaaaaaaaaaaaaaaaaaaaaaaaaaaaaaaaaaaaaaaaaaaaaaaaaaaaaaaaaaaaaaaaaaaaaaaaaaaaaaaaaaaaaaaaa"/>
    <w:basedOn w:val="a0"/>
    <w:rsid w:val="007835DF"/>
  </w:style>
  <w:style w:type="paragraph" w:styleId="aff">
    <w:name w:val="Title"/>
    <w:basedOn w:val="a"/>
    <w:next w:val="a"/>
    <w:link w:val="aff0"/>
    <w:qFormat/>
    <w:locked/>
    <w:rsid w:val="007835DF"/>
    <w:pPr>
      <w:spacing w:after="0"/>
      <w:contextualSpacing/>
    </w:pPr>
    <w:rPr>
      <w:rFonts w:asciiTheme="majorHAnsi" w:eastAsiaTheme="majorEastAsia" w:hAnsiTheme="majorHAnsi" w:cstheme="majorBidi"/>
      <w:spacing w:val="-10"/>
      <w:kern w:val="28"/>
      <w:sz w:val="56"/>
      <w:szCs w:val="56"/>
    </w:rPr>
  </w:style>
  <w:style w:type="character" w:customStyle="1" w:styleId="aff0">
    <w:name w:val="Заголовок Знак"/>
    <w:basedOn w:val="a0"/>
    <w:link w:val="aff"/>
    <w:rsid w:val="007835DF"/>
    <w:rPr>
      <w:rFonts w:asciiTheme="majorHAnsi" w:eastAsiaTheme="majorEastAsia" w:hAnsiTheme="majorHAnsi" w:cstheme="majorBidi"/>
      <w:spacing w:val="-10"/>
      <w:kern w:val="28"/>
      <w:sz w:val="56"/>
      <w:szCs w:val="5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17899">
      <w:bodyDiv w:val="1"/>
      <w:marLeft w:val="0"/>
      <w:marRight w:val="0"/>
      <w:marTop w:val="0"/>
      <w:marBottom w:val="0"/>
      <w:divBdr>
        <w:top w:val="none" w:sz="0" w:space="0" w:color="auto"/>
        <w:left w:val="none" w:sz="0" w:space="0" w:color="auto"/>
        <w:bottom w:val="none" w:sz="0" w:space="0" w:color="auto"/>
        <w:right w:val="none" w:sz="0" w:space="0" w:color="auto"/>
      </w:divBdr>
    </w:div>
    <w:div w:id="9452144">
      <w:bodyDiv w:val="1"/>
      <w:marLeft w:val="0"/>
      <w:marRight w:val="0"/>
      <w:marTop w:val="0"/>
      <w:marBottom w:val="0"/>
      <w:divBdr>
        <w:top w:val="none" w:sz="0" w:space="0" w:color="auto"/>
        <w:left w:val="none" w:sz="0" w:space="0" w:color="auto"/>
        <w:bottom w:val="none" w:sz="0" w:space="0" w:color="auto"/>
        <w:right w:val="none" w:sz="0" w:space="0" w:color="auto"/>
      </w:divBdr>
    </w:div>
    <w:div w:id="42874057">
      <w:bodyDiv w:val="1"/>
      <w:marLeft w:val="0"/>
      <w:marRight w:val="0"/>
      <w:marTop w:val="0"/>
      <w:marBottom w:val="0"/>
      <w:divBdr>
        <w:top w:val="none" w:sz="0" w:space="0" w:color="auto"/>
        <w:left w:val="none" w:sz="0" w:space="0" w:color="auto"/>
        <w:bottom w:val="none" w:sz="0" w:space="0" w:color="auto"/>
        <w:right w:val="none" w:sz="0" w:space="0" w:color="auto"/>
      </w:divBdr>
    </w:div>
    <w:div w:id="76681863">
      <w:bodyDiv w:val="1"/>
      <w:marLeft w:val="0"/>
      <w:marRight w:val="0"/>
      <w:marTop w:val="0"/>
      <w:marBottom w:val="0"/>
      <w:divBdr>
        <w:top w:val="none" w:sz="0" w:space="0" w:color="auto"/>
        <w:left w:val="none" w:sz="0" w:space="0" w:color="auto"/>
        <w:bottom w:val="none" w:sz="0" w:space="0" w:color="auto"/>
        <w:right w:val="none" w:sz="0" w:space="0" w:color="auto"/>
      </w:divBdr>
    </w:div>
    <w:div w:id="80571188">
      <w:bodyDiv w:val="1"/>
      <w:marLeft w:val="0"/>
      <w:marRight w:val="0"/>
      <w:marTop w:val="0"/>
      <w:marBottom w:val="0"/>
      <w:divBdr>
        <w:top w:val="none" w:sz="0" w:space="0" w:color="auto"/>
        <w:left w:val="none" w:sz="0" w:space="0" w:color="auto"/>
        <w:bottom w:val="none" w:sz="0" w:space="0" w:color="auto"/>
        <w:right w:val="none" w:sz="0" w:space="0" w:color="auto"/>
      </w:divBdr>
    </w:div>
    <w:div w:id="101458299">
      <w:bodyDiv w:val="1"/>
      <w:marLeft w:val="0"/>
      <w:marRight w:val="0"/>
      <w:marTop w:val="0"/>
      <w:marBottom w:val="0"/>
      <w:divBdr>
        <w:top w:val="none" w:sz="0" w:space="0" w:color="auto"/>
        <w:left w:val="none" w:sz="0" w:space="0" w:color="auto"/>
        <w:bottom w:val="none" w:sz="0" w:space="0" w:color="auto"/>
        <w:right w:val="none" w:sz="0" w:space="0" w:color="auto"/>
      </w:divBdr>
    </w:div>
    <w:div w:id="143282397">
      <w:bodyDiv w:val="1"/>
      <w:marLeft w:val="0"/>
      <w:marRight w:val="0"/>
      <w:marTop w:val="0"/>
      <w:marBottom w:val="0"/>
      <w:divBdr>
        <w:top w:val="none" w:sz="0" w:space="0" w:color="auto"/>
        <w:left w:val="none" w:sz="0" w:space="0" w:color="auto"/>
        <w:bottom w:val="none" w:sz="0" w:space="0" w:color="auto"/>
        <w:right w:val="none" w:sz="0" w:space="0" w:color="auto"/>
      </w:divBdr>
    </w:div>
    <w:div w:id="143935188">
      <w:bodyDiv w:val="1"/>
      <w:marLeft w:val="0"/>
      <w:marRight w:val="0"/>
      <w:marTop w:val="0"/>
      <w:marBottom w:val="0"/>
      <w:divBdr>
        <w:top w:val="none" w:sz="0" w:space="0" w:color="auto"/>
        <w:left w:val="none" w:sz="0" w:space="0" w:color="auto"/>
        <w:bottom w:val="none" w:sz="0" w:space="0" w:color="auto"/>
        <w:right w:val="none" w:sz="0" w:space="0" w:color="auto"/>
      </w:divBdr>
    </w:div>
    <w:div w:id="164129759">
      <w:bodyDiv w:val="1"/>
      <w:marLeft w:val="0"/>
      <w:marRight w:val="0"/>
      <w:marTop w:val="0"/>
      <w:marBottom w:val="0"/>
      <w:divBdr>
        <w:top w:val="none" w:sz="0" w:space="0" w:color="auto"/>
        <w:left w:val="none" w:sz="0" w:space="0" w:color="auto"/>
        <w:bottom w:val="none" w:sz="0" w:space="0" w:color="auto"/>
        <w:right w:val="none" w:sz="0" w:space="0" w:color="auto"/>
      </w:divBdr>
    </w:div>
    <w:div w:id="171650686">
      <w:bodyDiv w:val="1"/>
      <w:marLeft w:val="0"/>
      <w:marRight w:val="0"/>
      <w:marTop w:val="0"/>
      <w:marBottom w:val="0"/>
      <w:divBdr>
        <w:top w:val="none" w:sz="0" w:space="0" w:color="auto"/>
        <w:left w:val="none" w:sz="0" w:space="0" w:color="auto"/>
        <w:bottom w:val="none" w:sz="0" w:space="0" w:color="auto"/>
        <w:right w:val="none" w:sz="0" w:space="0" w:color="auto"/>
      </w:divBdr>
    </w:div>
    <w:div w:id="182016235">
      <w:bodyDiv w:val="1"/>
      <w:marLeft w:val="0"/>
      <w:marRight w:val="0"/>
      <w:marTop w:val="0"/>
      <w:marBottom w:val="0"/>
      <w:divBdr>
        <w:top w:val="none" w:sz="0" w:space="0" w:color="auto"/>
        <w:left w:val="none" w:sz="0" w:space="0" w:color="auto"/>
        <w:bottom w:val="none" w:sz="0" w:space="0" w:color="auto"/>
        <w:right w:val="none" w:sz="0" w:space="0" w:color="auto"/>
      </w:divBdr>
    </w:div>
    <w:div w:id="215819778">
      <w:bodyDiv w:val="1"/>
      <w:marLeft w:val="0"/>
      <w:marRight w:val="0"/>
      <w:marTop w:val="0"/>
      <w:marBottom w:val="0"/>
      <w:divBdr>
        <w:top w:val="none" w:sz="0" w:space="0" w:color="auto"/>
        <w:left w:val="none" w:sz="0" w:space="0" w:color="auto"/>
        <w:bottom w:val="none" w:sz="0" w:space="0" w:color="auto"/>
        <w:right w:val="none" w:sz="0" w:space="0" w:color="auto"/>
      </w:divBdr>
    </w:div>
    <w:div w:id="244605876">
      <w:bodyDiv w:val="1"/>
      <w:marLeft w:val="0"/>
      <w:marRight w:val="0"/>
      <w:marTop w:val="0"/>
      <w:marBottom w:val="0"/>
      <w:divBdr>
        <w:top w:val="none" w:sz="0" w:space="0" w:color="auto"/>
        <w:left w:val="none" w:sz="0" w:space="0" w:color="auto"/>
        <w:bottom w:val="none" w:sz="0" w:space="0" w:color="auto"/>
        <w:right w:val="none" w:sz="0" w:space="0" w:color="auto"/>
      </w:divBdr>
    </w:div>
    <w:div w:id="292296278">
      <w:bodyDiv w:val="1"/>
      <w:marLeft w:val="0"/>
      <w:marRight w:val="0"/>
      <w:marTop w:val="0"/>
      <w:marBottom w:val="0"/>
      <w:divBdr>
        <w:top w:val="none" w:sz="0" w:space="0" w:color="auto"/>
        <w:left w:val="none" w:sz="0" w:space="0" w:color="auto"/>
        <w:bottom w:val="none" w:sz="0" w:space="0" w:color="auto"/>
        <w:right w:val="none" w:sz="0" w:space="0" w:color="auto"/>
      </w:divBdr>
    </w:div>
    <w:div w:id="303244126">
      <w:bodyDiv w:val="1"/>
      <w:marLeft w:val="0"/>
      <w:marRight w:val="0"/>
      <w:marTop w:val="0"/>
      <w:marBottom w:val="0"/>
      <w:divBdr>
        <w:top w:val="none" w:sz="0" w:space="0" w:color="auto"/>
        <w:left w:val="none" w:sz="0" w:space="0" w:color="auto"/>
        <w:bottom w:val="none" w:sz="0" w:space="0" w:color="auto"/>
        <w:right w:val="none" w:sz="0" w:space="0" w:color="auto"/>
      </w:divBdr>
    </w:div>
    <w:div w:id="327900530">
      <w:bodyDiv w:val="1"/>
      <w:marLeft w:val="0"/>
      <w:marRight w:val="0"/>
      <w:marTop w:val="0"/>
      <w:marBottom w:val="0"/>
      <w:divBdr>
        <w:top w:val="none" w:sz="0" w:space="0" w:color="auto"/>
        <w:left w:val="none" w:sz="0" w:space="0" w:color="auto"/>
        <w:bottom w:val="none" w:sz="0" w:space="0" w:color="auto"/>
        <w:right w:val="none" w:sz="0" w:space="0" w:color="auto"/>
      </w:divBdr>
    </w:div>
    <w:div w:id="340742466">
      <w:bodyDiv w:val="1"/>
      <w:marLeft w:val="0"/>
      <w:marRight w:val="0"/>
      <w:marTop w:val="0"/>
      <w:marBottom w:val="0"/>
      <w:divBdr>
        <w:top w:val="none" w:sz="0" w:space="0" w:color="auto"/>
        <w:left w:val="none" w:sz="0" w:space="0" w:color="auto"/>
        <w:bottom w:val="none" w:sz="0" w:space="0" w:color="auto"/>
        <w:right w:val="none" w:sz="0" w:space="0" w:color="auto"/>
      </w:divBdr>
    </w:div>
    <w:div w:id="384335809">
      <w:bodyDiv w:val="1"/>
      <w:marLeft w:val="0"/>
      <w:marRight w:val="0"/>
      <w:marTop w:val="0"/>
      <w:marBottom w:val="0"/>
      <w:divBdr>
        <w:top w:val="none" w:sz="0" w:space="0" w:color="auto"/>
        <w:left w:val="none" w:sz="0" w:space="0" w:color="auto"/>
        <w:bottom w:val="none" w:sz="0" w:space="0" w:color="auto"/>
        <w:right w:val="none" w:sz="0" w:space="0" w:color="auto"/>
      </w:divBdr>
    </w:div>
    <w:div w:id="405880094">
      <w:bodyDiv w:val="1"/>
      <w:marLeft w:val="0"/>
      <w:marRight w:val="0"/>
      <w:marTop w:val="0"/>
      <w:marBottom w:val="0"/>
      <w:divBdr>
        <w:top w:val="none" w:sz="0" w:space="0" w:color="auto"/>
        <w:left w:val="none" w:sz="0" w:space="0" w:color="auto"/>
        <w:bottom w:val="none" w:sz="0" w:space="0" w:color="auto"/>
        <w:right w:val="none" w:sz="0" w:space="0" w:color="auto"/>
      </w:divBdr>
    </w:div>
    <w:div w:id="405960085">
      <w:bodyDiv w:val="1"/>
      <w:marLeft w:val="0"/>
      <w:marRight w:val="0"/>
      <w:marTop w:val="0"/>
      <w:marBottom w:val="0"/>
      <w:divBdr>
        <w:top w:val="none" w:sz="0" w:space="0" w:color="auto"/>
        <w:left w:val="none" w:sz="0" w:space="0" w:color="auto"/>
        <w:bottom w:val="none" w:sz="0" w:space="0" w:color="auto"/>
        <w:right w:val="none" w:sz="0" w:space="0" w:color="auto"/>
      </w:divBdr>
    </w:div>
    <w:div w:id="430584814">
      <w:bodyDiv w:val="1"/>
      <w:marLeft w:val="0"/>
      <w:marRight w:val="0"/>
      <w:marTop w:val="0"/>
      <w:marBottom w:val="0"/>
      <w:divBdr>
        <w:top w:val="none" w:sz="0" w:space="0" w:color="auto"/>
        <w:left w:val="none" w:sz="0" w:space="0" w:color="auto"/>
        <w:bottom w:val="none" w:sz="0" w:space="0" w:color="auto"/>
        <w:right w:val="none" w:sz="0" w:space="0" w:color="auto"/>
      </w:divBdr>
    </w:div>
    <w:div w:id="452099740">
      <w:bodyDiv w:val="1"/>
      <w:marLeft w:val="0"/>
      <w:marRight w:val="0"/>
      <w:marTop w:val="0"/>
      <w:marBottom w:val="0"/>
      <w:divBdr>
        <w:top w:val="none" w:sz="0" w:space="0" w:color="auto"/>
        <w:left w:val="none" w:sz="0" w:space="0" w:color="auto"/>
        <w:bottom w:val="none" w:sz="0" w:space="0" w:color="auto"/>
        <w:right w:val="none" w:sz="0" w:space="0" w:color="auto"/>
      </w:divBdr>
    </w:div>
    <w:div w:id="474184071">
      <w:bodyDiv w:val="1"/>
      <w:marLeft w:val="0"/>
      <w:marRight w:val="0"/>
      <w:marTop w:val="0"/>
      <w:marBottom w:val="0"/>
      <w:divBdr>
        <w:top w:val="none" w:sz="0" w:space="0" w:color="auto"/>
        <w:left w:val="none" w:sz="0" w:space="0" w:color="auto"/>
        <w:bottom w:val="none" w:sz="0" w:space="0" w:color="auto"/>
        <w:right w:val="none" w:sz="0" w:space="0" w:color="auto"/>
      </w:divBdr>
    </w:div>
    <w:div w:id="481393259">
      <w:bodyDiv w:val="1"/>
      <w:marLeft w:val="0"/>
      <w:marRight w:val="0"/>
      <w:marTop w:val="0"/>
      <w:marBottom w:val="0"/>
      <w:divBdr>
        <w:top w:val="none" w:sz="0" w:space="0" w:color="auto"/>
        <w:left w:val="none" w:sz="0" w:space="0" w:color="auto"/>
        <w:bottom w:val="none" w:sz="0" w:space="0" w:color="auto"/>
        <w:right w:val="none" w:sz="0" w:space="0" w:color="auto"/>
      </w:divBdr>
    </w:div>
    <w:div w:id="484323882">
      <w:bodyDiv w:val="1"/>
      <w:marLeft w:val="0"/>
      <w:marRight w:val="0"/>
      <w:marTop w:val="0"/>
      <w:marBottom w:val="0"/>
      <w:divBdr>
        <w:top w:val="none" w:sz="0" w:space="0" w:color="auto"/>
        <w:left w:val="none" w:sz="0" w:space="0" w:color="auto"/>
        <w:bottom w:val="none" w:sz="0" w:space="0" w:color="auto"/>
        <w:right w:val="none" w:sz="0" w:space="0" w:color="auto"/>
      </w:divBdr>
    </w:div>
    <w:div w:id="539781353">
      <w:bodyDiv w:val="1"/>
      <w:marLeft w:val="0"/>
      <w:marRight w:val="0"/>
      <w:marTop w:val="0"/>
      <w:marBottom w:val="0"/>
      <w:divBdr>
        <w:top w:val="none" w:sz="0" w:space="0" w:color="auto"/>
        <w:left w:val="none" w:sz="0" w:space="0" w:color="auto"/>
        <w:bottom w:val="none" w:sz="0" w:space="0" w:color="auto"/>
        <w:right w:val="none" w:sz="0" w:space="0" w:color="auto"/>
      </w:divBdr>
    </w:div>
    <w:div w:id="552695522">
      <w:bodyDiv w:val="1"/>
      <w:marLeft w:val="0"/>
      <w:marRight w:val="0"/>
      <w:marTop w:val="0"/>
      <w:marBottom w:val="0"/>
      <w:divBdr>
        <w:top w:val="none" w:sz="0" w:space="0" w:color="auto"/>
        <w:left w:val="none" w:sz="0" w:space="0" w:color="auto"/>
        <w:bottom w:val="none" w:sz="0" w:space="0" w:color="auto"/>
        <w:right w:val="none" w:sz="0" w:space="0" w:color="auto"/>
      </w:divBdr>
    </w:div>
    <w:div w:id="612984398">
      <w:bodyDiv w:val="1"/>
      <w:marLeft w:val="0"/>
      <w:marRight w:val="0"/>
      <w:marTop w:val="0"/>
      <w:marBottom w:val="0"/>
      <w:divBdr>
        <w:top w:val="none" w:sz="0" w:space="0" w:color="auto"/>
        <w:left w:val="none" w:sz="0" w:space="0" w:color="auto"/>
        <w:bottom w:val="none" w:sz="0" w:space="0" w:color="auto"/>
        <w:right w:val="none" w:sz="0" w:space="0" w:color="auto"/>
      </w:divBdr>
    </w:div>
    <w:div w:id="625283241">
      <w:bodyDiv w:val="1"/>
      <w:marLeft w:val="0"/>
      <w:marRight w:val="0"/>
      <w:marTop w:val="0"/>
      <w:marBottom w:val="0"/>
      <w:divBdr>
        <w:top w:val="none" w:sz="0" w:space="0" w:color="auto"/>
        <w:left w:val="none" w:sz="0" w:space="0" w:color="auto"/>
        <w:bottom w:val="none" w:sz="0" w:space="0" w:color="auto"/>
        <w:right w:val="none" w:sz="0" w:space="0" w:color="auto"/>
      </w:divBdr>
    </w:div>
    <w:div w:id="625351237">
      <w:bodyDiv w:val="1"/>
      <w:marLeft w:val="0"/>
      <w:marRight w:val="0"/>
      <w:marTop w:val="0"/>
      <w:marBottom w:val="0"/>
      <w:divBdr>
        <w:top w:val="none" w:sz="0" w:space="0" w:color="auto"/>
        <w:left w:val="none" w:sz="0" w:space="0" w:color="auto"/>
        <w:bottom w:val="none" w:sz="0" w:space="0" w:color="auto"/>
        <w:right w:val="none" w:sz="0" w:space="0" w:color="auto"/>
      </w:divBdr>
    </w:div>
    <w:div w:id="646713108">
      <w:bodyDiv w:val="1"/>
      <w:marLeft w:val="0"/>
      <w:marRight w:val="0"/>
      <w:marTop w:val="0"/>
      <w:marBottom w:val="0"/>
      <w:divBdr>
        <w:top w:val="none" w:sz="0" w:space="0" w:color="auto"/>
        <w:left w:val="none" w:sz="0" w:space="0" w:color="auto"/>
        <w:bottom w:val="none" w:sz="0" w:space="0" w:color="auto"/>
        <w:right w:val="none" w:sz="0" w:space="0" w:color="auto"/>
      </w:divBdr>
    </w:div>
    <w:div w:id="689525072">
      <w:bodyDiv w:val="1"/>
      <w:marLeft w:val="0"/>
      <w:marRight w:val="0"/>
      <w:marTop w:val="0"/>
      <w:marBottom w:val="0"/>
      <w:divBdr>
        <w:top w:val="none" w:sz="0" w:space="0" w:color="auto"/>
        <w:left w:val="none" w:sz="0" w:space="0" w:color="auto"/>
        <w:bottom w:val="none" w:sz="0" w:space="0" w:color="auto"/>
        <w:right w:val="none" w:sz="0" w:space="0" w:color="auto"/>
      </w:divBdr>
    </w:div>
    <w:div w:id="693849159">
      <w:bodyDiv w:val="1"/>
      <w:marLeft w:val="0"/>
      <w:marRight w:val="0"/>
      <w:marTop w:val="0"/>
      <w:marBottom w:val="0"/>
      <w:divBdr>
        <w:top w:val="none" w:sz="0" w:space="0" w:color="auto"/>
        <w:left w:val="none" w:sz="0" w:space="0" w:color="auto"/>
        <w:bottom w:val="none" w:sz="0" w:space="0" w:color="auto"/>
        <w:right w:val="none" w:sz="0" w:space="0" w:color="auto"/>
      </w:divBdr>
    </w:div>
    <w:div w:id="701323148">
      <w:bodyDiv w:val="1"/>
      <w:marLeft w:val="0"/>
      <w:marRight w:val="0"/>
      <w:marTop w:val="0"/>
      <w:marBottom w:val="0"/>
      <w:divBdr>
        <w:top w:val="none" w:sz="0" w:space="0" w:color="auto"/>
        <w:left w:val="none" w:sz="0" w:space="0" w:color="auto"/>
        <w:bottom w:val="none" w:sz="0" w:space="0" w:color="auto"/>
        <w:right w:val="none" w:sz="0" w:space="0" w:color="auto"/>
      </w:divBdr>
    </w:div>
    <w:div w:id="735936064">
      <w:bodyDiv w:val="1"/>
      <w:marLeft w:val="0"/>
      <w:marRight w:val="0"/>
      <w:marTop w:val="0"/>
      <w:marBottom w:val="0"/>
      <w:divBdr>
        <w:top w:val="none" w:sz="0" w:space="0" w:color="auto"/>
        <w:left w:val="none" w:sz="0" w:space="0" w:color="auto"/>
        <w:bottom w:val="none" w:sz="0" w:space="0" w:color="auto"/>
        <w:right w:val="none" w:sz="0" w:space="0" w:color="auto"/>
      </w:divBdr>
    </w:div>
    <w:div w:id="752775753">
      <w:bodyDiv w:val="1"/>
      <w:marLeft w:val="0"/>
      <w:marRight w:val="0"/>
      <w:marTop w:val="0"/>
      <w:marBottom w:val="0"/>
      <w:divBdr>
        <w:top w:val="none" w:sz="0" w:space="0" w:color="auto"/>
        <w:left w:val="none" w:sz="0" w:space="0" w:color="auto"/>
        <w:bottom w:val="none" w:sz="0" w:space="0" w:color="auto"/>
        <w:right w:val="none" w:sz="0" w:space="0" w:color="auto"/>
      </w:divBdr>
    </w:div>
    <w:div w:id="764036601">
      <w:bodyDiv w:val="1"/>
      <w:marLeft w:val="0"/>
      <w:marRight w:val="0"/>
      <w:marTop w:val="0"/>
      <w:marBottom w:val="0"/>
      <w:divBdr>
        <w:top w:val="none" w:sz="0" w:space="0" w:color="auto"/>
        <w:left w:val="none" w:sz="0" w:space="0" w:color="auto"/>
        <w:bottom w:val="none" w:sz="0" w:space="0" w:color="auto"/>
        <w:right w:val="none" w:sz="0" w:space="0" w:color="auto"/>
      </w:divBdr>
    </w:div>
    <w:div w:id="773134685">
      <w:bodyDiv w:val="1"/>
      <w:marLeft w:val="0"/>
      <w:marRight w:val="0"/>
      <w:marTop w:val="0"/>
      <w:marBottom w:val="0"/>
      <w:divBdr>
        <w:top w:val="none" w:sz="0" w:space="0" w:color="auto"/>
        <w:left w:val="none" w:sz="0" w:space="0" w:color="auto"/>
        <w:bottom w:val="none" w:sz="0" w:space="0" w:color="auto"/>
        <w:right w:val="none" w:sz="0" w:space="0" w:color="auto"/>
      </w:divBdr>
    </w:div>
    <w:div w:id="774446774">
      <w:bodyDiv w:val="1"/>
      <w:marLeft w:val="0"/>
      <w:marRight w:val="0"/>
      <w:marTop w:val="0"/>
      <w:marBottom w:val="0"/>
      <w:divBdr>
        <w:top w:val="none" w:sz="0" w:space="0" w:color="auto"/>
        <w:left w:val="none" w:sz="0" w:space="0" w:color="auto"/>
        <w:bottom w:val="none" w:sz="0" w:space="0" w:color="auto"/>
        <w:right w:val="none" w:sz="0" w:space="0" w:color="auto"/>
      </w:divBdr>
    </w:div>
    <w:div w:id="807435141">
      <w:bodyDiv w:val="1"/>
      <w:marLeft w:val="0"/>
      <w:marRight w:val="0"/>
      <w:marTop w:val="0"/>
      <w:marBottom w:val="0"/>
      <w:divBdr>
        <w:top w:val="none" w:sz="0" w:space="0" w:color="auto"/>
        <w:left w:val="none" w:sz="0" w:space="0" w:color="auto"/>
        <w:bottom w:val="none" w:sz="0" w:space="0" w:color="auto"/>
        <w:right w:val="none" w:sz="0" w:space="0" w:color="auto"/>
      </w:divBdr>
    </w:div>
    <w:div w:id="885071948">
      <w:bodyDiv w:val="1"/>
      <w:marLeft w:val="0"/>
      <w:marRight w:val="0"/>
      <w:marTop w:val="0"/>
      <w:marBottom w:val="0"/>
      <w:divBdr>
        <w:top w:val="none" w:sz="0" w:space="0" w:color="auto"/>
        <w:left w:val="none" w:sz="0" w:space="0" w:color="auto"/>
        <w:bottom w:val="none" w:sz="0" w:space="0" w:color="auto"/>
        <w:right w:val="none" w:sz="0" w:space="0" w:color="auto"/>
      </w:divBdr>
    </w:div>
    <w:div w:id="937912607">
      <w:bodyDiv w:val="1"/>
      <w:marLeft w:val="0"/>
      <w:marRight w:val="0"/>
      <w:marTop w:val="0"/>
      <w:marBottom w:val="0"/>
      <w:divBdr>
        <w:top w:val="none" w:sz="0" w:space="0" w:color="auto"/>
        <w:left w:val="none" w:sz="0" w:space="0" w:color="auto"/>
        <w:bottom w:val="none" w:sz="0" w:space="0" w:color="auto"/>
        <w:right w:val="none" w:sz="0" w:space="0" w:color="auto"/>
      </w:divBdr>
    </w:div>
    <w:div w:id="958682618">
      <w:bodyDiv w:val="1"/>
      <w:marLeft w:val="0"/>
      <w:marRight w:val="0"/>
      <w:marTop w:val="0"/>
      <w:marBottom w:val="0"/>
      <w:divBdr>
        <w:top w:val="none" w:sz="0" w:space="0" w:color="auto"/>
        <w:left w:val="none" w:sz="0" w:space="0" w:color="auto"/>
        <w:bottom w:val="none" w:sz="0" w:space="0" w:color="auto"/>
        <w:right w:val="none" w:sz="0" w:space="0" w:color="auto"/>
      </w:divBdr>
    </w:div>
    <w:div w:id="977883357">
      <w:bodyDiv w:val="1"/>
      <w:marLeft w:val="0"/>
      <w:marRight w:val="0"/>
      <w:marTop w:val="0"/>
      <w:marBottom w:val="0"/>
      <w:divBdr>
        <w:top w:val="none" w:sz="0" w:space="0" w:color="auto"/>
        <w:left w:val="none" w:sz="0" w:space="0" w:color="auto"/>
        <w:bottom w:val="none" w:sz="0" w:space="0" w:color="auto"/>
        <w:right w:val="none" w:sz="0" w:space="0" w:color="auto"/>
      </w:divBdr>
    </w:div>
    <w:div w:id="998656374">
      <w:bodyDiv w:val="1"/>
      <w:marLeft w:val="0"/>
      <w:marRight w:val="0"/>
      <w:marTop w:val="0"/>
      <w:marBottom w:val="0"/>
      <w:divBdr>
        <w:top w:val="none" w:sz="0" w:space="0" w:color="auto"/>
        <w:left w:val="none" w:sz="0" w:space="0" w:color="auto"/>
        <w:bottom w:val="none" w:sz="0" w:space="0" w:color="auto"/>
        <w:right w:val="none" w:sz="0" w:space="0" w:color="auto"/>
      </w:divBdr>
    </w:div>
    <w:div w:id="1033265756">
      <w:bodyDiv w:val="1"/>
      <w:marLeft w:val="0"/>
      <w:marRight w:val="0"/>
      <w:marTop w:val="0"/>
      <w:marBottom w:val="0"/>
      <w:divBdr>
        <w:top w:val="none" w:sz="0" w:space="0" w:color="auto"/>
        <w:left w:val="none" w:sz="0" w:space="0" w:color="auto"/>
        <w:bottom w:val="none" w:sz="0" w:space="0" w:color="auto"/>
        <w:right w:val="none" w:sz="0" w:space="0" w:color="auto"/>
      </w:divBdr>
    </w:div>
    <w:div w:id="1090660946">
      <w:bodyDiv w:val="1"/>
      <w:marLeft w:val="0"/>
      <w:marRight w:val="0"/>
      <w:marTop w:val="0"/>
      <w:marBottom w:val="0"/>
      <w:divBdr>
        <w:top w:val="none" w:sz="0" w:space="0" w:color="auto"/>
        <w:left w:val="none" w:sz="0" w:space="0" w:color="auto"/>
        <w:bottom w:val="none" w:sz="0" w:space="0" w:color="auto"/>
        <w:right w:val="none" w:sz="0" w:space="0" w:color="auto"/>
      </w:divBdr>
    </w:div>
    <w:div w:id="1115715763">
      <w:bodyDiv w:val="1"/>
      <w:marLeft w:val="0"/>
      <w:marRight w:val="0"/>
      <w:marTop w:val="0"/>
      <w:marBottom w:val="0"/>
      <w:divBdr>
        <w:top w:val="none" w:sz="0" w:space="0" w:color="auto"/>
        <w:left w:val="none" w:sz="0" w:space="0" w:color="auto"/>
        <w:bottom w:val="none" w:sz="0" w:space="0" w:color="auto"/>
        <w:right w:val="none" w:sz="0" w:space="0" w:color="auto"/>
      </w:divBdr>
    </w:div>
    <w:div w:id="1122501772">
      <w:bodyDiv w:val="1"/>
      <w:marLeft w:val="0"/>
      <w:marRight w:val="0"/>
      <w:marTop w:val="0"/>
      <w:marBottom w:val="0"/>
      <w:divBdr>
        <w:top w:val="none" w:sz="0" w:space="0" w:color="auto"/>
        <w:left w:val="none" w:sz="0" w:space="0" w:color="auto"/>
        <w:bottom w:val="none" w:sz="0" w:space="0" w:color="auto"/>
        <w:right w:val="none" w:sz="0" w:space="0" w:color="auto"/>
      </w:divBdr>
    </w:div>
    <w:div w:id="1163282974">
      <w:bodyDiv w:val="1"/>
      <w:marLeft w:val="0"/>
      <w:marRight w:val="0"/>
      <w:marTop w:val="0"/>
      <w:marBottom w:val="0"/>
      <w:divBdr>
        <w:top w:val="none" w:sz="0" w:space="0" w:color="auto"/>
        <w:left w:val="none" w:sz="0" w:space="0" w:color="auto"/>
        <w:bottom w:val="none" w:sz="0" w:space="0" w:color="auto"/>
        <w:right w:val="none" w:sz="0" w:space="0" w:color="auto"/>
      </w:divBdr>
    </w:div>
    <w:div w:id="1185175567">
      <w:bodyDiv w:val="1"/>
      <w:marLeft w:val="0"/>
      <w:marRight w:val="0"/>
      <w:marTop w:val="0"/>
      <w:marBottom w:val="0"/>
      <w:divBdr>
        <w:top w:val="none" w:sz="0" w:space="0" w:color="auto"/>
        <w:left w:val="none" w:sz="0" w:space="0" w:color="auto"/>
        <w:bottom w:val="none" w:sz="0" w:space="0" w:color="auto"/>
        <w:right w:val="none" w:sz="0" w:space="0" w:color="auto"/>
      </w:divBdr>
    </w:div>
    <w:div w:id="1211724686">
      <w:bodyDiv w:val="1"/>
      <w:marLeft w:val="0"/>
      <w:marRight w:val="0"/>
      <w:marTop w:val="0"/>
      <w:marBottom w:val="0"/>
      <w:divBdr>
        <w:top w:val="none" w:sz="0" w:space="0" w:color="auto"/>
        <w:left w:val="none" w:sz="0" w:space="0" w:color="auto"/>
        <w:bottom w:val="none" w:sz="0" w:space="0" w:color="auto"/>
        <w:right w:val="none" w:sz="0" w:space="0" w:color="auto"/>
      </w:divBdr>
    </w:div>
    <w:div w:id="1281229579">
      <w:bodyDiv w:val="1"/>
      <w:marLeft w:val="0"/>
      <w:marRight w:val="0"/>
      <w:marTop w:val="0"/>
      <w:marBottom w:val="0"/>
      <w:divBdr>
        <w:top w:val="none" w:sz="0" w:space="0" w:color="auto"/>
        <w:left w:val="none" w:sz="0" w:space="0" w:color="auto"/>
        <w:bottom w:val="none" w:sz="0" w:space="0" w:color="auto"/>
        <w:right w:val="none" w:sz="0" w:space="0" w:color="auto"/>
      </w:divBdr>
    </w:div>
    <w:div w:id="1293707110">
      <w:bodyDiv w:val="1"/>
      <w:marLeft w:val="0"/>
      <w:marRight w:val="0"/>
      <w:marTop w:val="0"/>
      <w:marBottom w:val="0"/>
      <w:divBdr>
        <w:top w:val="none" w:sz="0" w:space="0" w:color="auto"/>
        <w:left w:val="none" w:sz="0" w:space="0" w:color="auto"/>
        <w:bottom w:val="none" w:sz="0" w:space="0" w:color="auto"/>
        <w:right w:val="none" w:sz="0" w:space="0" w:color="auto"/>
      </w:divBdr>
    </w:div>
    <w:div w:id="1297950943">
      <w:bodyDiv w:val="1"/>
      <w:marLeft w:val="0"/>
      <w:marRight w:val="0"/>
      <w:marTop w:val="0"/>
      <w:marBottom w:val="0"/>
      <w:divBdr>
        <w:top w:val="none" w:sz="0" w:space="0" w:color="auto"/>
        <w:left w:val="none" w:sz="0" w:space="0" w:color="auto"/>
        <w:bottom w:val="none" w:sz="0" w:space="0" w:color="auto"/>
        <w:right w:val="none" w:sz="0" w:space="0" w:color="auto"/>
      </w:divBdr>
    </w:div>
    <w:div w:id="1338654171">
      <w:bodyDiv w:val="1"/>
      <w:marLeft w:val="0"/>
      <w:marRight w:val="0"/>
      <w:marTop w:val="0"/>
      <w:marBottom w:val="0"/>
      <w:divBdr>
        <w:top w:val="none" w:sz="0" w:space="0" w:color="auto"/>
        <w:left w:val="none" w:sz="0" w:space="0" w:color="auto"/>
        <w:bottom w:val="none" w:sz="0" w:space="0" w:color="auto"/>
        <w:right w:val="none" w:sz="0" w:space="0" w:color="auto"/>
      </w:divBdr>
    </w:div>
    <w:div w:id="1363240078">
      <w:bodyDiv w:val="1"/>
      <w:marLeft w:val="0"/>
      <w:marRight w:val="0"/>
      <w:marTop w:val="0"/>
      <w:marBottom w:val="0"/>
      <w:divBdr>
        <w:top w:val="none" w:sz="0" w:space="0" w:color="auto"/>
        <w:left w:val="none" w:sz="0" w:space="0" w:color="auto"/>
        <w:bottom w:val="none" w:sz="0" w:space="0" w:color="auto"/>
        <w:right w:val="none" w:sz="0" w:space="0" w:color="auto"/>
      </w:divBdr>
    </w:div>
    <w:div w:id="1382628874">
      <w:bodyDiv w:val="1"/>
      <w:marLeft w:val="0"/>
      <w:marRight w:val="0"/>
      <w:marTop w:val="0"/>
      <w:marBottom w:val="0"/>
      <w:divBdr>
        <w:top w:val="none" w:sz="0" w:space="0" w:color="auto"/>
        <w:left w:val="none" w:sz="0" w:space="0" w:color="auto"/>
        <w:bottom w:val="none" w:sz="0" w:space="0" w:color="auto"/>
        <w:right w:val="none" w:sz="0" w:space="0" w:color="auto"/>
      </w:divBdr>
    </w:div>
    <w:div w:id="1399790313">
      <w:bodyDiv w:val="1"/>
      <w:marLeft w:val="0"/>
      <w:marRight w:val="0"/>
      <w:marTop w:val="0"/>
      <w:marBottom w:val="0"/>
      <w:divBdr>
        <w:top w:val="none" w:sz="0" w:space="0" w:color="auto"/>
        <w:left w:val="none" w:sz="0" w:space="0" w:color="auto"/>
        <w:bottom w:val="none" w:sz="0" w:space="0" w:color="auto"/>
        <w:right w:val="none" w:sz="0" w:space="0" w:color="auto"/>
      </w:divBdr>
    </w:div>
    <w:div w:id="1447381764">
      <w:bodyDiv w:val="1"/>
      <w:marLeft w:val="0"/>
      <w:marRight w:val="0"/>
      <w:marTop w:val="0"/>
      <w:marBottom w:val="0"/>
      <w:divBdr>
        <w:top w:val="none" w:sz="0" w:space="0" w:color="auto"/>
        <w:left w:val="none" w:sz="0" w:space="0" w:color="auto"/>
        <w:bottom w:val="none" w:sz="0" w:space="0" w:color="auto"/>
        <w:right w:val="none" w:sz="0" w:space="0" w:color="auto"/>
      </w:divBdr>
    </w:div>
    <w:div w:id="1457406179">
      <w:bodyDiv w:val="1"/>
      <w:marLeft w:val="0"/>
      <w:marRight w:val="0"/>
      <w:marTop w:val="0"/>
      <w:marBottom w:val="0"/>
      <w:divBdr>
        <w:top w:val="none" w:sz="0" w:space="0" w:color="auto"/>
        <w:left w:val="none" w:sz="0" w:space="0" w:color="auto"/>
        <w:bottom w:val="none" w:sz="0" w:space="0" w:color="auto"/>
        <w:right w:val="none" w:sz="0" w:space="0" w:color="auto"/>
      </w:divBdr>
    </w:div>
    <w:div w:id="1457719879">
      <w:bodyDiv w:val="1"/>
      <w:marLeft w:val="0"/>
      <w:marRight w:val="0"/>
      <w:marTop w:val="0"/>
      <w:marBottom w:val="0"/>
      <w:divBdr>
        <w:top w:val="none" w:sz="0" w:space="0" w:color="auto"/>
        <w:left w:val="none" w:sz="0" w:space="0" w:color="auto"/>
        <w:bottom w:val="none" w:sz="0" w:space="0" w:color="auto"/>
        <w:right w:val="none" w:sz="0" w:space="0" w:color="auto"/>
      </w:divBdr>
    </w:div>
    <w:div w:id="1482849727">
      <w:bodyDiv w:val="1"/>
      <w:marLeft w:val="0"/>
      <w:marRight w:val="0"/>
      <w:marTop w:val="0"/>
      <w:marBottom w:val="0"/>
      <w:divBdr>
        <w:top w:val="none" w:sz="0" w:space="0" w:color="auto"/>
        <w:left w:val="none" w:sz="0" w:space="0" w:color="auto"/>
        <w:bottom w:val="none" w:sz="0" w:space="0" w:color="auto"/>
        <w:right w:val="none" w:sz="0" w:space="0" w:color="auto"/>
      </w:divBdr>
    </w:div>
    <w:div w:id="1534419290">
      <w:bodyDiv w:val="1"/>
      <w:marLeft w:val="0"/>
      <w:marRight w:val="0"/>
      <w:marTop w:val="0"/>
      <w:marBottom w:val="0"/>
      <w:divBdr>
        <w:top w:val="none" w:sz="0" w:space="0" w:color="auto"/>
        <w:left w:val="none" w:sz="0" w:space="0" w:color="auto"/>
        <w:bottom w:val="none" w:sz="0" w:space="0" w:color="auto"/>
        <w:right w:val="none" w:sz="0" w:space="0" w:color="auto"/>
      </w:divBdr>
    </w:div>
    <w:div w:id="1581671474">
      <w:bodyDiv w:val="1"/>
      <w:marLeft w:val="0"/>
      <w:marRight w:val="0"/>
      <w:marTop w:val="0"/>
      <w:marBottom w:val="0"/>
      <w:divBdr>
        <w:top w:val="none" w:sz="0" w:space="0" w:color="auto"/>
        <w:left w:val="none" w:sz="0" w:space="0" w:color="auto"/>
        <w:bottom w:val="none" w:sz="0" w:space="0" w:color="auto"/>
        <w:right w:val="none" w:sz="0" w:space="0" w:color="auto"/>
      </w:divBdr>
    </w:div>
    <w:div w:id="1633054259">
      <w:bodyDiv w:val="1"/>
      <w:marLeft w:val="0"/>
      <w:marRight w:val="0"/>
      <w:marTop w:val="0"/>
      <w:marBottom w:val="0"/>
      <w:divBdr>
        <w:top w:val="none" w:sz="0" w:space="0" w:color="auto"/>
        <w:left w:val="none" w:sz="0" w:space="0" w:color="auto"/>
        <w:bottom w:val="none" w:sz="0" w:space="0" w:color="auto"/>
        <w:right w:val="none" w:sz="0" w:space="0" w:color="auto"/>
      </w:divBdr>
    </w:div>
    <w:div w:id="1650864980">
      <w:bodyDiv w:val="1"/>
      <w:marLeft w:val="0"/>
      <w:marRight w:val="0"/>
      <w:marTop w:val="0"/>
      <w:marBottom w:val="0"/>
      <w:divBdr>
        <w:top w:val="none" w:sz="0" w:space="0" w:color="auto"/>
        <w:left w:val="none" w:sz="0" w:space="0" w:color="auto"/>
        <w:bottom w:val="none" w:sz="0" w:space="0" w:color="auto"/>
        <w:right w:val="none" w:sz="0" w:space="0" w:color="auto"/>
      </w:divBdr>
    </w:div>
    <w:div w:id="1700231644">
      <w:bodyDiv w:val="1"/>
      <w:marLeft w:val="0"/>
      <w:marRight w:val="0"/>
      <w:marTop w:val="0"/>
      <w:marBottom w:val="0"/>
      <w:divBdr>
        <w:top w:val="none" w:sz="0" w:space="0" w:color="auto"/>
        <w:left w:val="none" w:sz="0" w:space="0" w:color="auto"/>
        <w:bottom w:val="none" w:sz="0" w:space="0" w:color="auto"/>
        <w:right w:val="none" w:sz="0" w:space="0" w:color="auto"/>
      </w:divBdr>
    </w:div>
    <w:div w:id="1707564976">
      <w:bodyDiv w:val="1"/>
      <w:marLeft w:val="0"/>
      <w:marRight w:val="0"/>
      <w:marTop w:val="0"/>
      <w:marBottom w:val="0"/>
      <w:divBdr>
        <w:top w:val="none" w:sz="0" w:space="0" w:color="auto"/>
        <w:left w:val="none" w:sz="0" w:space="0" w:color="auto"/>
        <w:bottom w:val="none" w:sz="0" w:space="0" w:color="auto"/>
        <w:right w:val="none" w:sz="0" w:space="0" w:color="auto"/>
      </w:divBdr>
    </w:div>
    <w:div w:id="1733459792">
      <w:bodyDiv w:val="1"/>
      <w:marLeft w:val="0"/>
      <w:marRight w:val="0"/>
      <w:marTop w:val="0"/>
      <w:marBottom w:val="0"/>
      <w:divBdr>
        <w:top w:val="none" w:sz="0" w:space="0" w:color="auto"/>
        <w:left w:val="none" w:sz="0" w:space="0" w:color="auto"/>
        <w:bottom w:val="none" w:sz="0" w:space="0" w:color="auto"/>
        <w:right w:val="none" w:sz="0" w:space="0" w:color="auto"/>
      </w:divBdr>
    </w:div>
    <w:div w:id="1769540605">
      <w:bodyDiv w:val="1"/>
      <w:marLeft w:val="0"/>
      <w:marRight w:val="0"/>
      <w:marTop w:val="0"/>
      <w:marBottom w:val="0"/>
      <w:divBdr>
        <w:top w:val="none" w:sz="0" w:space="0" w:color="auto"/>
        <w:left w:val="none" w:sz="0" w:space="0" w:color="auto"/>
        <w:bottom w:val="none" w:sz="0" w:space="0" w:color="auto"/>
        <w:right w:val="none" w:sz="0" w:space="0" w:color="auto"/>
      </w:divBdr>
    </w:div>
    <w:div w:id="1805541216">
      <w:bodyDiv w:val="1"/>
      <w:marLeft w:val="0"/>
      <w:marRight w:val="0"/>
      <w:marTop w:val="0"/>
      <w:marBottom w:val="0"/>
      <w:divBdr>
        <w:top w:val="none" w:sz="0" w:space="0" w:color="auto"/>
        <w:left w:val="none" w:sz="0" w:space="0" w:color="auto"/>
        <w:bottom w:val="none" w:sz="0" w:space="0" w:color="auto"/>
        <w:right w:val="none" w:sz="0" w:space="0" w:color="auto"/>
      </w:divBdr>
    </w:div>
    <w:div w:id="1857771347">
      <w:bodyDiv w:val="1"/>
      <w:marLeft w:val="0"/>
      <w:marRight w:val="0"/>
      <w:marTop w:val="0"/>
      <w:marBottom w:val="0"/>
      <w:divBdr>
        <w:top w:val="none" w:sz="0" w:space="0" w:color="auto"/>
        <w:left w:val="none" w:sz="0" w:space="0" w:color="auto"/>
        <w:bottom w:val="none" w:sz="0" w:space="0" w:color="auto"/>
        <w:right w:val="none" w:sz="0" w:space="0" w:color="auto"/>
      </w:divBdr>
    </w:div>
    <w:div w:id="1865362810">
      <w:bodyDiv w:val="1"/>
      <w:marLeft w:val="0"/>
      <w:marRight w:val="0"/>
      <w:marTop w:val="0"/>
      <w:marBottom w:val="0"/>
      <w:divBdr>
        <w:top w:val="none" w:sz="0" w:space="0" w:color="auto"/>
        <w:left w:val="none" w:sz="0" w:space="0" w:color="auto"/>
        <w:bottom w:val="none" w:sz="0" w:space="0" w:color="auto"/>
        <w:right w:val="none" w:sz="0" w:space="0" w:color="auto"/>
      </w:divBdr>
    </w:div>
    <w:div w:id="1866795732">
      <w:bodyDiv w:val="1"/>
      <w:marLeft w:val="0"/>
      <w:marRight w:val="0"/>
      <w:marTop w:val="0"/>
      <w:marBottom w:val="0"/>
      <w:divBdr>
        <w:top w:val="none" w:sz="0" w:space="0" w:color="auto"/>
        <w:left w:val="none" w:sz="0" w:space="0" w:color="auto"/>
        <w:bottom w:val="none" w:sz="0" w:space="0" w:color="auto"/>
        <w:right w:val="none" w:sz="0" w:space="0" w:color="auto"/>
      </w:divBdr>
    </w:div>
    <w:div w:id="1872377943">
      <w:bodyDiv w:val="1"/>
      <w:marLeft w:val="0"/>
      <w:marRight w:val="0"/>
      <w:marTop w:val="0"/>
      <w:marBottom w:val="0"/>
      <w:divBdr>
        <w:top w:val="none" w:sz="0" w:space="0" w:color="auto"/>
        <w:left w:val="none" w:sz="0" w:space="0" w:color="auto"/>
        <w:bottom w:val="none" w:sz="0" w:space="0" w:color="auto"/>
        <w:right w:val="none" w:sz="0" w:space="0" w:color="auto"/>
      </w:divBdr>
    </w:div>
    <w:div w:id="1886673924">
      <w:bodyDiv w:val="1"/>
      <w:marLeft w:val="0"/>
      <w:marRight w:val="0"/>
      <w:marTop w:val="0"/>
      <w:marBottom w:val="0"/>
      <w:divBdr>
        <w:top w:val="none" w:sz="0" w:space="0" w:color="auto"/>
        <w:left w:val="none" w:sz="0" w:space="0" w:color="auto"/>
        <w:bottom w:val="none" w:sz="0" w:space="0" w:color="auto"/>
        <w:right w:val="none" w:sz="0" w:space="0" w:color="auto"/>
      </w:divBdr>
    </w:div>
    <w:div w:id="1919702945">
      <w:bodyDiv w:val="1"/>
      <w:marLeft w:val="0"/>
      <w:marRight w:val="0"/>
      <w:marTop w:val="0"/>
      <w:marBottom w:val="0"/>
      <w:divBdr>
        <w:top w:val="none" w:sz="0" w:space="0" w:color="auto"/>
        <w:left w:val="none" w:sz="0" w:space="0" w:color="auto"/>
        <w:bottom w:val="none" w:sz="0" w:space="0" w:color="auto"/>
        <w:right w:val="none" w:sz="0" w:space="0" w:color="auto"/>
      </w:divBdr>
    </w:div>
    <w:div w:id="1921401849">
      <w:bodyDiv w:val="1"/>
      <w:marLeft w:val="0"/>
      <w:marRight w:val="0"/>
      <w:marTop w:val="0"/>
      <w:marBottom w:val="0"/>
      <w:divBdr>
        <w:top w:val="none" w:sz="0" w:space="0" w:color="auto"/>
        <w:left w:val="none" w:sz="0" w:space="0" w:color="auto"/>
        <w:bottom w:val="none" w:sz="0" w:space="0" w:color="auto"/>
        <w:right w:val="none" w:sz="0" w:space="0" w:color="auto"/>
      </w:divBdr>
    </w:div>
    <w:div w:id="1934894513">
      <w:bodyDiv w:val="1"/>
      <w:marLeft w:val="0"/>
      <w:marRight w:val="0"/>
      <w:marTop w:val="0"/>
      <w:marBottom w:val="0"/>
      <w:divBdr>
        <w:top w:val="none" w:sz="0" w:space="0" w:color="auto"/>
        <w:left w:val="none" w:sz="0" w:space="0" w:color="auto"/>
        <w:bottom w:val="none" w:sz="0" w:space="0" w:color="auto"/>
        <w:right w:val="none" w:sz="0" w:space="0" w:color="auto"/>
      </w:divBdr>
    </w:div>
    <w:div w:id="1949771660">
      <w:bodyDiv w:val="1"/>
      <w:marLeft w:val="0"/>
      <w:marRight w:val="0"/>
      <w:marTop w:val="0"/>
      <w:marBottom w:val="0"/>
      <w:divBdr>
        <w:top w:val="none" w:sz="0" w:space="0" w:color="auto"/>
        <w:left w:val="none" w:sz="0" w:space="0" w:color="auto"/>
        <w:bottom w:val="none" w:sz="0" w:space="0" w:color="auto"/>
        <w:right w:val="none" w:sz="0" w:space="0" w:color="auto"/>
      </w:divBdr>
    </w:div>
    <w:div w:id="1992559707">
      <w:bodyDiv w:val="1"/>
      <w:marLeft w:val="0"/>
      <w:marRight w:val="0"/>
      <w:marTop w:val="0"/>
      <w:marBottom w:val="0"/>
      <w:divBdr>
        <w:top w:val="none" w:sz="0" w:space="0" w:color="auto"/>
        <w:left w:val="none" w:sz="0" w:space="0" w:color="auto"/>
        <w:bottom w:val="none" w:sz="0" w:space="0" w:color="auto"/>
        <w:right w:val="none" w:sz="0" w:space="0" w:color="auto"/>
      </w:divBdr>
    </w:div>
    <w:div w:id="2016876692">
      <w:bodyDiv w:val="1"/>
      <w:marLeft w:val="0"/>
      <w:marRight w:val="0"/>
      <w:marTop w:val="0"/>
      <w:marBottom w:val="0"/>
      <w:divBdr>
        <w:top w:val="none" w:sz="0" w:space="0" w:color="auto"/>
        <w:left w:val="none" w:sz="0" w:space="0" w:color="auto"/>
        <w:bottom w:val="none" w:sz="0" w:space="0" w:color="auto"/>
        <w:right w:val="none" w:sz="0" w:space="0" w:color="auto"/>
      </w:divBdr>
    </w:div>
    <w:div w:id="2057847341">
      <w:bodyDiv w:val="1"/>
      <w:marLeft w:val="0"/>
      <w:marRight w:val="0"/>
      <w:marTop w:val="0"/>
      <w:marBottom w:val="0"/>
      <w:divBdr>
        <w:top w:val="none" w:sz="0" w:space="0" w:color="auto"/>
        <w:left w:val="none" w:sz="0" w:space="0" w:color="auto"/>
        <w:bottom w:val="none" w:sz="0" w:space="0" w:color="auto"/>
        <w:right w:val="none" w:sz="0" w:space="0" w:color="auto"/>
      </w:divBdr>
    </w:div>
    <w:div w:id="2132356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chart" Target="charts/chart3.xml"/><Relationship Id="rId18" Type="http://schemas.openxmlformats.org/officeDocument/2006/relationships/image" Target="media/image3.jpeg"/><Relationship Id="rId26" Type="http://schemas.openxmlformats.org/officeDocument/2006/relationships/image" Target="media/image10.jpeg"/><Relationship Id="rId39" Type="http://schemas.openxmlformats.org/officeDocument/2006/relationships/chart" Target="charts/chart13.xml"/><Relationship Id="rId21" Type="http://schemas.openxmlformats.org/officeDocument/2006/relationships/chart" Target="charts/chart9.xml"/><Relationship Id="rId34" Type="http://schemas.openxmlformats.org/officeDocument/2006/relationships/image" Target="media/image17.jpeg"/><Relationship Id="rId42" Type="http://schemas.openxmlformats.org/officeDocument/2006/relationships/image" Target="media/image21.jpe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6.xm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image" Target="media/image9.png"/><Relationship Id="rId32" Type="http://schemas.openxmlformats.org/officeDocument/2006/relationships/image" Target="media/image15.jpeg"/><Relationship Id="rId37" Type="http://schemas.openxmlformats.org/officeDocument/2006/relationships/image" Target="media/image20.jpeg"/><Relationship Id="rId40" Type="http://schemas.openxmlformats.org/officeDocument/2006/relationships/hyperlink" Target="https://yur-gazeta.com/golovna/konstituciyna-yusticiya-yakiy-napryamok-rozvitku-obrala-ukrayina-.html" TargetMode="External"/><Relationship Id="rId45" Type="http://schemas.openxmlformats.org/officeDocument/2006/relationships/chart" Target="charts/chart14.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image" Target="media/image8.jpeg"/><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header" Target="header2.xml"/><Relationship Id="rId19" Type="http://schemas.openxmlformats.org/officeDocument/2006/relationships/chart" Target="charts/chart7.xml"/><Relationship Id="rId31" Type="http://schemas.openxmlformats.org/officeDocument/2006/relationships/image" Target="media/image14.jpeg"/><Relationship Id="rId44"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hart" Target="charts/chart4.xml"/><Relationship Id="rId22" Type="http://schemas.openxmlformats.org/officeDocument/2006/relationships/chart" Target="charts/chart10.xml"/><Relationship Id="rId27" Type="http://schemas.openxmlformats.org/officeDocument/2006/relationships/chart" Target="charts/chart11.xml"/><Relationship Id="rId30" Type="http://schemas.openxmlformats.org/officeDocument/2006/relationships/image" Target="media/image13.jpeg"/><Relationship Id="rId35" Type="http://schemas.openxmlformats.org/officeDocument/2006/relationships/image" Target="media/image18.png"/><Relationship Id="rId43" Type="http://schemas.openxmlformats.org/officeDocument/2006/relationships/image" Target="media/image22.jpe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image" Target="media/image2.jpeg"/><Relationship Id="rId25" Type="http://schemas.openxmlformats.org/officeDocument/2006/relationships/image" Target="http://www.nsj.gov.ua/images/inform_vyd/2021/2021-09-20_15_26_46-Window.png" TargetMode="External"/><Relationship Id="rId33" Type="http://schemas.openxmlformats.org/officeDocument/2006/relationships/image" Target="media/image16.jpeg"/><Relationship Id="rId38" Type="http://schemas.openxmlformats.org/officeDocument/2006/relationships/chart" Target="charts/chart12.xml"/><Relationship Id="rId46" Type="http://schemas.openxmlformats.org/officeDocument/2006/relationships/fontTable" Target="fontTable.xml"/><Relationship Id="rId20" Type="http://schemas.openxmlformats.org/officeDocument/2006/relationships/chart" Target="charts/chart8.xml"/><Relationship Id="rId41" Type="http://schemas.openxmlformats.org/officeDocument/2006/relationships/hyperlink" Target="http://slovo.nsj.gov.ua/"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udnichenkotp\Documents\&#1040;&#1085;&#1072;&#1083;&#1080;&#1090;%20&#1079;&#1074;&#1110;&#1090;%20&#1057;&#1055;%202020%20(6%20&#1084;&#1110;&#1089;).dot"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package" Target="../embeddings/_____Microsoft_Excel5.xlsx"/></Relationships>
</file>

<file path=word/charts/_rels/chart7.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jpeg"/><Relationship Id="rId1" Type="http://schemas.openxmlformats.org/officeDocument/2006/relationships/themeOverride" Target="../theme/themeOverride5.xml"/><Relationship Id="rId4" Type="http://schemas.openxmlformats.org/officeDocument/2006/relationships/package" Target="../embeddings/_____Microsoft_Excel6.xlsx"/></Relationships>
</file>

<file path=word/charts/_rels/chart8.xml.rels><?xml version="1.0" encoding="UTF-8" standalone="yes"?>
<Relationships xmlns="http://schemas.openxmlformats.org/package/2006/relationships"><Relationship Id="rId3" Type="http://schemas.openxmlformats.org/officeDocument/2006/relationships/package" Target="../embeddings/_____Microsoft_Excel7.xlsx"/><Relationship Id="rId2" Type="http://schemas.openxmlformats.org/officeDocument/2006/relationships/image" Target="../media/image6.jpeg"/><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3" Type="http://schemas.openxmlformats.org/officeDocument/2006/relationships/package" Target="../embeddings/_____Microsoft_Excel8.xlsx"/><Relationship Id="rId2" Type="http://schemas.openxmlformats.org/officeDocument/2006/relationships/image" Target="../media/image7.jpeg"/><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10.xlsx"/><Relationship Id="rId1" Type="http://schemas.openxmlformats.org/officeDocument/2006/relationships/themeOverride" Target="../theme/themeOverride9.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10.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11.xml"/></Relationships>
</file>

<file path=word/charts/_rels/chart14.xml.rels><?xml version="1.0" encoding="UTF-8" standalone="yes"?>
<Relationships xmlns="http://schemas.openxmlformats.org/package/2006/relationships"><Relationship Id="rId3" Type="http://schemas.openxmlformats.org/officeDocument/2006/relationships/package" Target="../embeddings/_____Microsoft_Excel13.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uk-UA"/>
              <a:t>загальноукраїнські одноденні тематичні семінари у 2021 роЦІ</a:t>
            </a:r>
            <a:endParaRPr lang="ru-RU"/>
          </a:p>
        </c:rich>
      </c:tx>
      <c:layout>
        <c:manualLayout>
          <c:xMode val="edge"/>
          <c:yMode val="edge"/>
          <c:x val="0.20359833628073803"/>
          <c:y val="2.5784170444603582E-2"/>
        </c:manualLayout>
      </c:layout>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6.7124332570556819E-2"/>
          <c:y val="0.39209876543209954"/>
          <c:w val="0.9328756674294445"/>
          <c:h val="0.27785515699426488"/>
        </c:manualLayout>
      </c:layout>
      <c:bar3DChart>
        <c:barDir val="col"/>
        <c:grouping val="stacked"/>
        <c:varyColors val="0"/>
        <c:ser>
          <c:idx val="0"/>
          <c:order val="0"/>
          <c:tx>
            <c:strRef>
              <c:f>Аркуш1!$B$1</c:f>
              <c:strCache>
                <c:ptCount val="1"/>
                <c:pt idx="0">
                  <c:v>Ряд 1</c:v>
                </c:pt>
              </c:strCache>
            </c:strRef>
          </c:tx>
          <c:spPr>
            <a:solidFill>
              <a:schemeClr val="accent1"/>
            </a:solidFill>
            <a:ln>
              <a:noFill/>
            </a:ln>
            <a:effectLst/>
            <a:sp3d/>
          </c:spPr>
          <c:invertIfNegative val="0"/>
          <c:dLbls>
            <c:spPr>
              <a:noFill/>
              <a:ln>
                <a:noFill/>
              </a:ln>
              <a:effectLst/>
            </c:spPr>
            <c:txPr>
              <a:bodyPr rot="0" spcFirstLastPara="1" vertOverflow="ellipsis" vert="horz" wrap="square" anchor="ctr" anchorCtr="1"/>
              <a:lstStyle/>
              <a:p>
                <a:pPr>
                  <a:defRPr sz="8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Аркуш1!$A$2:$A$7</c:f>
              <c:strCache>
                <c:ptCount val="6"/>
                <c:pt idx="0">
                  <c:v>Київ</c:v>
                </c:pt>
                <c:pt idx="1">
                  <c:v>Дніпровське РВ</c:v>
                </c:pt>
                <c:pt idx="2">
                  <c:v>Львівське РВ</c:v>
                </c:pt>
                <c:pt idx="3">
                  <c:v>Одеське РВ</c:v>
                </c:pt>
                <c:pt idx="4">
                  <c:v>Харківське РВ</c:v>
                </c:pt>
                <c:pt idx="5">
                  <c:v>Чернівецьке РВ</c:v>
                </c:pt>
              </c:strCache>
            </c:strRef>
          </c:cat>
          <c:val>
            <c:numRef>
              <c:f>Аркуш1!$B$2:$B$7</c:f>
              <c:numCache>
                <c:formatCode>General</c:formatCode>
                <c:ptCount val="6"/>
                <c:pt idx="0">
                  <c:v>7</c:v>
                </c:pt>
                <c:pt idx="1">
                  <c:v>5</c:v>
                </c:pt>
                <c:pt idx="2">
                  <c:v>4</c:v>
                </c:pt>
                <c:pt idx="3">
                  <c:v>4</c:v>
                </c:pt>
                <c:pt idx="4">
                  <c:v>5</c:v>
                </c:pt>
                <c:pt idx="5">
                  <c:v>4</c:v>
                </c:pt>
              </c:numCache>
            </c:numRef>
          </c:val>
          <c:extLst>
            <c:ext xmlns:c16="http://schemas.microsoft.com/office/drawing/2014/chart" uri="{C3380CC4-5D6E-409C-BE32-E72D297353CC}">
              <c16:uniqueId val="{00000000-C213-470F-9EAE-50D64BDA08B6}"/>
            </c:ext>
          </c:extLst>
        </c:ser>
        <c:ser>
          <c:idx val="1"/>
          <c:order val="1"/>
          <c:tx>
            <c:strRef>
              <c:f>Аркуш1!$C$1</c:f>
              <c:strCache>
                <c:ptCount val="1"/>
                <c:pt idx="0">
                  <c:v>Стовпець1</c:v>
                </c:pt>
              </c:strCache>
            </c:strRef>
          </c:tx>
          <c:spPr>
            <a:solidFill>
              <a:schemeClr val="accent2"/>
            </a:solidFill>
            <a:ln>
              <a:noFill/>
            </a:ln>
            <a:effectLst/>
            <a:sp3d/>
          </c:spPr>
          <c:invertIfNegative val="0"/>
          <c:dLbls>
            <c:spPr>
              <a:noFill/>
              <a:ln>
                <a:noFill/>
              </a:ln>
              <a:effectLst/>
            </c:spPr>
            <c:txPr>
              <a:bodyPr rot="0" spcFirstLastPara="1" vertOverflow="ellipsis" vert="horz" wrap="square" anchor="ctr" anchorCtr="1"/>
              <a:lstStyle/>
              <a:p>
                <a:pPr>
                  <a:defRPr sz="8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Аркуш1!$A$2:$A$7</c:f>
              <c:strCache>
                <c:ptCount val="6"/>
                <c:pt idx="0">
                  <c:v>Київ</c:v>
                </c:pt>
                <c:pt idx="1">
                  <c:v>Дніпровське РВ</c:v>
                </c:pt>
                <c:pt idx="2">
                  <c:v>Львівське РВ</c:v>
                </c:pt>
                <c:pt idx="3">
                  <c:v>Одеське РВ</c:v>
                </c:pt>
                <c:pt idx="4">
                  <c:v>Харківське РВ</c:v>
                </c:pt>
                <c:pt idx="5">
                  <c:v>Чернівецьке РВ</c:v>
                </c:pt>
              </c:strCache>
            </c:strRef>
          </c:cat>
          <c:val>
            <c:numRef>
              <c:f>Аркуш1!$C$2:$C$7</c:f>
              <c:numCache>
                <c:formatCode>General</c:formatCode>
                <c:ptCount val="6"/>
              </c:numCache>
            </c:numRef>
          </c:val>
          <c:extLst>
            <c:ext xmlns:c16="http://schemas.microsoft.com/office/drawing/2014/chart" uri="{C3380CC4-5D6E-409C-BE32-E72D297353CC}">
              <c16:uniqueId val="{00000001-C213-470F-9EAE-50D64BDA08B6}"/>
            </c:ext>
          </c:extLst>
        </c:ser>
        <c:ser>
          <c:idx val="2"/>
          <c:order val="2"/>
          <c:tx>
            <c:strRef>
              <c:f>Аркуш1!$D$1</c:f>
              <c:strCache>
                <c:ptCount val="1"/>
                <c:pt idx="0">
                  <c:v>Стовпець2</c:v>
                </c:pt>
              </c:strCache>
            </c:strRef>
          </c:tx>
          <c:spPr>
            <a:solidFill>
              <a:schemeClr val="accent3"/>
            </a:solidFill>
            <a:ln>
              <a:noFill/>
            </a:ln>
            <a:effectLst/>
            <a:sp3d/>
          </c:spPr>
          <c:invertIfNegative val="0"/>
          <c:dLbls>
            <c:spPr>
              <a:noFill/>
              <a:ln>
                <a:noFill/>
              </a:ln>
              <a:effectLst/>
            </c:spPr>
            <c:txPr>
              <a:bodyPr rot="0" spcFirstLastPara="1" vertOverflow="ellipsis" vert="horz" wrap="square" anchor="ctr" anchorCtr="1"/>
              <a:lstStyle/>
              <a:p>
                <a:pPr>
                  <a:defRPr sz="800" b="1" i="0" u="none" strike="noStrike" kern="1200" baseline="0">
                    <a:solidFill>
                      <a:schemeClr val="lt1"/>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Аркуш1!$A$2:$A$7</c:f>
              <c:strCache>
                <c:ptCount val="6"/>
                <c:pt idx="0">
                  <c:v>Київ</c:v>
                </c:pt>
                <c:pt idx="1">
                  <c:v>Дніпровське РВ</c:v>
                </c:pt>
                <c:pt idx="2">
                  <c:v>Львівське РВ</c:v>
                </c:pt>
                <c:pt idx="3">
                  <c:v>Одеське РВ</c:v>
                </c:pt>
                <c:pt idx="4">
                  <c:v>Харківське РВ</c:v>
                </c:pt>
                <c:pt idx="5">
                  <c:v>Чернівецьке РВ</c:v>
                </c:pt>
              </c:strCache>
            </c:strRef>
          </c:cat>
          <c:val>
            <c:numRef>
              <c:f>Аркуш1!$D$2:$D$7</c:f>
              <c:numCache>
                <c:formatCode>General</c:formatCode>
                <c:ptCount val="6"/>
              </c:numCache>
            </c:numRef>
          </c:val>
          <c:extLst>
            <c:ext xmlns:c16="http://schemas.microsoft.com/office/drawing/2014/chart" uri="{C3380CC4-5D6E-409C-BE32-E72D297353CC}">
              <c16:uniqueId val="{00000002-C213-470F-9EAE-50D64BDA08B6}"/>
            </c:ext>
          </c:extLst>
        </c:ser>
        <c:dLbls>
          <c:showLegendKey val="0"/>
          <c:showVal val="1"/>
          <c:showCatName val="0"/>
          <c:showSerName val="0"/>
          <c:showPercent val="0"/>
          <c:showBubbleSize val="0"/>
        </c:dLbls>
        <c:gapWidth val="79"/>
        <c:shape val="box"/>
        <c:axId val="133572864"/>
        <c:axId val="135975680"/>
        <c:axId val="0"/>
      </c:bar3DChart>
      <c:catAx>
        <c:axId val="13357286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uk-UA"/>
          </a:p>
        </c:txPr>
        <c:crossAx val="135975680"/>
        <c:crosses val="autoZero"/>
        <c:auto val="1"/>
        <c:lblAlgn val="ctr"/>
        <c:lblOffset val="100"/>
        <c:noMultiLvlLbl val="0"/>
      </c:catAx>
      <c:valAx>
        <c:axId val="135975680"/>
        <c:scaling>
          <c:orientation val="minMax"/>
        </c:scaling>
        <c:delete val="1"/>
        <c:axPos val="l"/>
        <c:numFmt formatCode="General" sourceLinked="1"/>
        <c:majorTickMark val="none"/>
        <c:minorTickMark val="none"/>
        <c:tickLblPos val="none"/>
        <c:crossAx val="133572864"/>
        <c:crosses val="autoZero"/>
        <c:crossBetween val="between"/>
      </c:valAx>
      <c:spPr>
        <a:noFill/>
        <a:ln>
          <a:noFill/>
        </a:ln>
        <a:effectLst/>
      </c:spPr>
    </c:plotArea>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uk-UA"/>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fr-FR" sz="1200"/>
              <a:t>Training of judges to maintain their qualifications and periodic training of judges to improve their skills, including those elected to administrative positions in courts (persons)</a:t>
            </a:r>
            <a:endParaRPr lang="uk-UA" sz="1200"/>
          </a:p>
        </c:rich>
      </c:tx>
      <c:layout>
        <c:manualLayout>
          <c:xMode val="edge"/>
          <c:yMode val="edge"/>
          <c:x val="0.12624471025980322"/>
          <c:y val="0"/>
        </c:manualLayout>
      </c:layout>
      <c:overlay val="0"/>
      <c:spPr>
        <a:noFill/>
        <a:ln w="25406">
          <a:noFill/>
        </a:ln>
      </c:spPr>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5.0584475716049737E-2"/>
          <c:y val="0.12360051234532224"/>
          <c:w val="0.83991367948043794"/>
          <c:h val="0.81881194337887531"/>
        </c:manualLayout>
      </c:layout>
      <c:bar3DChart>
        <c:barDir val="col"/>
        <c:grouping val="stacked"/>
        <c:varyColors val="0"/>
        <c:ser>
          <c:idx val="0"/>
          <c:order val="0"/>
          <c:tx>
            <c:strRef>
              <c:f>Лист1!$B$1</c:f>
              <c:strCache>
                <c:ptCount val="1"/>
                <c:pt idx="0">
                  <c:v>Підготовка та періодчине навчання суддів з метою підвищення рівня їхньої кваліфікації, у тому числі обраних на адміністративні посади в судах (осіб)</c:v>
                </c:pt>
              </c:strCache>
            </c:strRef>
          </c:tx>
          <c:invertIfNegative val="0"/>
          <c:dLbls>
            <c:numFmt formatCode="General" sourceLinked="0"/>
            <c:spPr>
              <a:effectLst>
                <a:outerShdw blurRad="50800" dist="50800" dir="5400000" algn="ctr" rotWithShape="0">
                  <a:schemeClr val="accent1"/>
                </a:outerShdw>
              </a:effectLst>
            </c:spPr>
            <c:txPr>
              <a:bodyPr/>
              <a:lstStyle/>
              <a:p>
                <a:pPr>
                  <a:defRPr sz="1100" b="1">
                    <a:solidFill>
                      <a:schemeClr val="bg1"/>
                    </a:solidFill>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2"/>
                <c:pt idx="0">
                  <c:v>2020 рік</c:v>
                </c:pt>
                <c:pt idx="1">
                  <c:v>2021 рік</c:v>
                </c:pt>
              </c:strCache>
            </c:strRef>
          </c:cat>
          <c:val>
            <c:numRef>
              <c:f>Лист1!$B$2:$B$4</c:f>
              <c:numCache>
                <c:formatCode>General</c:formatCode>
                <c:ptCount val="2"/>
                <c:pt idx="0">
                  <c:v>6818</c:v>
                </c:pt>
                <c:pt idx="1">
                  <c:v>8082</c:v>
                </c:pt>
              </c:numCache>
            </c:numRef>
          </c:val>
          <c:extLst>
            <c:ext xmlns:c16="http://schemas.microsoft.com/office/drawing/2014/chart" uri="{C3380CC4-5D6E-409C-BE32-E72D297353CC}">
              <c16:uniqueId val="{00000000-D0FD-4C99-BD92-1D52C9373929}"/>
            </c:ext>
          </c:extLst>
        </c:ser>
        <c:dLbls>
          <c:showLegendKey val="0"/>
          <c:showVal val="0"/>
          <c:showCatName val="0"/>
          <c:showSerName val="0"/>
          <c:showPercent val="0"/>
          <c:showBubbleSize val="0"/>
        </c:dLbls>
        <c:gapWidth val="150"/>
        <c:shape val="box"/>
        <c:axId val="146468224"/>
        <c:axId val="47416448"/>
        <c:axId val="0"/>
      </c:bar3DChart>
      <c:catAx>
        <c:axId val="146468224"/>
        <c:scaling>
          <c:orientation val="minMax"/>
        </c:scaling>
        <c:delete val="0"/>
        <c:axPos val="b"/>
        <c:numFmt formatCode="General" sourceLinked="1"/>
        <c:majorTickMark val="out"/>
        <c:minorTickMark val="none"/>
        <c:tickLblPos val="nextTo"/>
        <c:txPr>
          <a:bodyPr/>
          <a:lstStyle/>
          <a:p>
            <a:pPr>
              <a:defRPr sz="1100"/>
            </a:pPr>
            <a:endParaRPr lang="uk-UA"/>
          </a:p>
        </c:txPr>
        <c:crossAx val="47416448"/>
        <c:crosses val="autoZero"/>
        <c:auto val="1"/>
        <c:lblAlgn val="ctr"/>
        <c:lblOffset val="100"/>
        <c:noMultiLvlLbl val="0"/>
      </c:catAx>
      <c:valAx>
        <c:axId val="47416448"/>
        <c:scaling>
          <c:orientation val="minMax"/>
          <c:max val="7500"/>
          <c:min val="0"/>
        </c:scaling>
        <c:delete val="0"/>
        <c:axPos val="l"/>
        <c:majorGridlines/>
        <c:numFmt formatCode="General" sourceLinked="1"/>
        <c:majorTickMark val="out"/>
        <c:minorTickMark val="none"/>
        <c:tickLblPos val="nextTo"/>
        <c:crossAx val="146468224"/>
        <c:crosses val="autoZero"/>
        <c:crossBetween val="between"/>
        <c:majorUnit val="1000"/>
      </c:valAx>
      <c:spPr>
        <a:noFill/>
        <a:ln w="25406">
          <a:noFill/>
        </a:ln>
      </c:spPr>
    </c:plotArea>
    <c:plotVisOnly val="1"/>
    <c:dispBlanksAs val="gap"/>
    <c:showDLblsOverMax val="0"/>
  </c:chart>
  <c:txPr>
    <a:bodyPr/>
    <a:lstStyle/>
    <a:p>
      <a:pPr>
        <a:defRPr>
          <a:latin typeface="Times New Roman" pitchFamily="18" charset="0"/>
          <a:cs typeface="Times New Roman" pitchFamily="18" charset="0"/>
        </a:defRPr>
      </a:pPr>
      <a:endParaRPr lang="uk-UA"/>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Times New Roman" pitchFamily="18" charset="0"/>
                <a:ea typeface="+mn-ea"/>
                <a:cs typeface="Times New Roman" pitchFamily="18" charset="0"/>
              </a:defRPr>
            </a:pPr>
            <a:r>
              <a:rPr lang="fr-FR" sz="1200"/>
              <a:t>Participation of structural units in training of judges </a:t>
            </a:r>
            <a:r>
              <a:rPr lang="fr-FR" sz="1200" b="1"/>
              <a:t>to maintain their qualifications</a:t>
            </a:r>
            <a:r>
              <a:rPr lang="fr-FR" sz="1200"/>
              <a:t>, in particular those elected to administrative positions, in 2021</a:t>
            </a:r>
          </a:p>
        </c:rich>
      </c:tx>
      <c:layout>
        <c:manualLayout>
          <c:xMode val="edge"/>
          <c:yMode val="edge"/>
          <c:x val="0.13870176180584071"/>
          <c:y val="0"/>
        </c:manualLayout>
      </c:layout>
      <c:overlay val="0"/>
      <c:spPr>
        <a:solidFill>
          <a:schemeClr val="bg1"/>
        </a:solidFill>
      </c:spPr>
    </c:title>
    <c:autoTitleDeleted val="0"/>
    <c:plotArea>
      <c:layout/>
      <c:pieChart>
        <c:varyColors val="1"/>
        <c:ser>
          <c:idx val="0"/>
          <c:order val="0"/>
          <c:tx>
            <c:strRef>
              <c:f>Лист1!$B$1</c:f>
              <c:strCache>
                <c:ptCount val="1"/>
                <c:pt idx="0">
                  <c:v>СУДДІ ПРИЗНАЧЕНІ</c:v>
                </c:pt>
              </c:strCache>
            </c:strRef>
          </c:tx>
          <c:dLbls>
            <c:dLbl>
              <c:idx val="0"/>
              <c:tx>
                <c:rich>
                  <a:bodyPr/>
                  <a:lstStyle/>
                  <a:p>
                    <a:r>
                      <a:rPr lang="en-US"/>
                      <a:t>46,40 %</a:t>
                    </a:r>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74E-4D07-B5B2-C263941FFEE9}"/>
                </c:ext>
              </c:extLst>
            </c:dLbl>
            <c:dLbl>
              <c:idx val="1"/>
              <c:layout>
                <c:manualLayout>
                  <c:x val="2.7511412558578726E-3"/>
                  <c:y val="9.5918779383344886E-3"/>
                </c:manualLayout>
              </c:layout>
              <c:tx>
                <c:rich>
                  <a:bodyPr/>
                  <a:lstStyle/>
                  <a:p>
                    <a:r>
                      <a:rPr lang="en-US"/>
                      <a:t>14,27 %</a:t>
                    </a:r>
                  </a:p>
                </c:rich>
              </c:tx>
              <c:dLblPos val="bestFit"/>
              <c:showLegendKey val="0"/>
              <c:showVal val="0"/>
              <c:showCatName val="0"/>
              <c:showSerName val="0"/>
              <c:showPercent val="0"/>
              <c:showBubbleSize val="0"/>
              <c:extLst>
                <c:ext xmlns:c15="http://schemas.microsoft.com/office/drawing/2012/chart" uri="{CE6537A1-D6FC-4f65-9D91-7224C49458BB}">
                  <c15:layout>
                    <c:manualLayout>
                      <c:w val="0.11635854924075084"/>
                      <c:h val="7.6025785238383659E-2"/>
                    </c:manualLayout>
                  </c15:layout>
                </c:ext>
                <c:ext xmlns:c16="http://schemas.microsoft.com/office/drawing/2014/chart" uri="{C3380CC4-5D6E-409C-BE32-E72D297353CC}">
                  <c16:uniqueId val="{00000001-E74E-4D07-B5B2-C263941FFEE9}"/>
                </c:ext>
              </c:extLst>
            </c:dLbl>
            <c:dLbl>
              <c:idx val="2"/>
              <c:layout>
                <c:manualLayout>
                  <c:x val="-1.1699955826697341E-3"/>
                  <c:y val="-2.0367521205394968E-2"/>
                </c:manualLayout>
              </c:layout>
              <c:tx>
                <c:rich>
                  <a:bodyPr/>
                  <a:lstStyle/>
                  <a:p>
                    <a:r>
                      <a:rPr lang="en-US"/>
                      <a:t>12,04 %</a:t>
                    </a:r>
                  </a:p>
                  <a:p>
                    <a:endParaRPr lang="en-US"/>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74E-4D07-B5B2-C263941FFEE9}"/>
                </c:ext>
              </c:extLst>
            </c:dLbl>
            <c:dLbl>
              <c:idx val="3"/>
              <c:layout>
                <c:manualLayout>
                  <c:x val="2.6182126477601882E-2"/>
                  <c:y val="-1.8111277037317318E-2"/>
                </c:manualLayout>
              </c:layout>
              <c:tx>
                <c:rich>
                  <a:bodyPr/>
                  <a:lstStyle/>
                  <a:p>
                    <a:r>
                      <a:rPr lang="en-US"/>
                      <a:t>10,56</a:t>
                    </a:r>
                    <a:r>
                      <a:rPr lang="en-US" baseline="0"/>
                      <a:t> </a:t>
                    </a:r>
                    <a:r>
                      <a:rPr lang="en-US"/>
                      <a:t>%</a:t>
                    </a:r>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74E-4D07-B5B2-C263941FFEE9}"/>
                </c:ext>
              </c:extLst>
            </c:dLbl>
            <c:dLbl>
              <c:idx val="4"/>
              <c:layout>
                <c:manualLayout>
                  <c:x val="-1.1995530261687682E-3"/>
                  <c:y val="-1.7933142972513055E-2"/>
                </c:manualLayout>
              </c:layout>
              <c:tx>
                <c:rich>
                  <a:bodyPr/>
                  <a:lstStyle/>
                  <a:p>
                    <a:r>
                      <a:rPr lang="en-US" baseline="0"/>
                      <a:t>11,60 </a:t>
                    </a:r>
                    <a:r>
                      <a:rPr lang="en-US"/>
                      <a:t>%</a:t>
                    </a:r>
                  </a:p>
                </c:rich>
              </c:tx>
              <c:dLblPos val="bestFit"/>
              <c:showLegendKey val="0"/>
              <c:showVal val="0"/>
              <c:showCatName val="0"/>
              <c:showSerName val="0"/>
              <c:showPercent val="0"/>
              <c:showBubbleSize val="0"/>
              <c:extLst>
                <c:ext xmlns:c15="http://schemas.microsoft.com/office/drawing/2012/chart" uri="{CE6537A1-D6FC-4f65-9D91-7224C49458BB}">
                  <c15:layout>
                    <c:manualLayout>
                      <c:w val="0.10537962457663089"/>
                      <c:h val="7.2362781575379995E-2"/>
                    </c:manualLayout>
                  </c15:layout>
                </c:ext>
                <c:ext xmlns:c16="http://schemas.microsoft.com/office/drawing/2014/chart" uri="{C3380CC4-5D6E-409C-BE32-E72D297353CC}">
                  <c16:uniqueId val="{00000004-E74E-4D07-B5B2-C263941FFEE9}"/>
                </c:ext>
              </c:extLst>
            </c:dLbl>
            <c:dLbl>
              <c:idx val="5"/>
              <c:layout>
                <c:manualLayout>
                  <c:x val="4.2458182826156633E-2"/>
                  <c:y val="-4.4426177497044004E-3"/>
                </c:manualLayout>
              </c:layout>
              <c:tx>
                <c:rich>
                  <a:bodyPr/>
                  <a:lstStyle/>
                  <a:p>
                    <a:r>
                      <a:rPr lang="en-US"/>
                      <a:t>5,13</a:t>
                    </a:r>
                    <a:r>
                      <a:rPr lang="en-US" baseline="0"/>
                      <a:t> </a:t>
                    </a:r>
                    <a:r>
                      <a:rPr lang="en-US"/>
                      <a:t>%</a:t>
                    </a:r>
                  </a:p>
                </c:rich>
              </c:tx>
              <c:dLblPos val="bestFit"/>
              <c:showLegendKey val="0"/>
              <c:showVal val="0"/>
              <c:showCatName val="0"/>
              <c:showSerName val="0"/>
              <c:showPercent val="0"/>
              <c:showBubbleSize val="0"/>
              <c:extLst>
                <c:ext xmlns:c15="http://schemas.microsoft.com/office/drawing/2012/chart" uri="{CE6537A1-D6FC-4f65-9D91-7224C49458BB}">
                  <c15:layout>
                    <c:manualLayout>
                      <c:w val="0.10545654565456546"/>
                      <c:h val="9.344322344322345E-2"/>
                    </c:manualLayout>
                  </c15:layout>
                </c:ext>
                <c:ext xmlns:c16="http://schemas.microsoft.com/office/drawing/2014/chart" uri="{C3380CC4-5D6E-409C-BE32-E72D297353CC}">
                  <c16:uniqueId val="{00000005-E74E-4D07-B5B2-C263941FFEE9}"/>
                </c:ext>
              </c:extLst>
            </c:dLbl>
            <c:spPr>
              <a:noFill/>
              <a:ln w="25406">
                <a:noFill/>
              </a:ln>
            </c:spPr>
            <c:txPr>
              <a:bodyPr/>
              <a:lstStyle/>
              <a:p>
                <a:pPr>
                  <a:defRPr sz="1196">
                    <a:latin typeface="Times New Roman" pitchFamily="18" charset="0"/>
                    <a:cs typeface="Times New Roman" pitchFamily="18" charset="0"/>
                  </a:defRPr>
                </a:pPr>
                <a:endParaRPr lang="uk-UA"/>
              </a:p>
            </c:txPr>
            <c:showLegendKey val="0"/>
            <c:showVal val="0"/>
            <c:showCatName val="0"/>
            <c:showSerName val="0"/>
            <c:showPercent val="1"/>
            <c:showBubbleSize val="0"/>
            <c:showLeaderLines val="0"/>
            <c:extLst>
              <c:ext xmlns:c15="http://schemas.microsoft.com/office/drawing/2012/chart" uri="{CE6537A1-D6FC-4f65-9D91-7224C49458BB}"/>
            </c:extLst>
          </c:dLbls>
          <c:cat>
            <c:strRef>
              <c:f>Лист1!$A$2:$A$7</c:f>
              <c:strCache>
                <c:ptCount val="6"/>
                <c:pt idx="0">
                  <c:v>Відділ підготовки суддів                      (м. Київ) 940 - 46,40 %</c:v>
                </c:pt>
                <c:pt idx="1">
                  <c:v>Дніпровське регіональне відділення 289 - 14,27 %</c:v>
                </c:pt>
                <c:pt idx="2">
                  <c:v>Львівське регіональне відділення 244 - 12,04 %</c:v>
                </c:pt>
                <c:pt idx="3">
                  <c:v>Одеське регіональне відділення 214 - 10,56 %</c:v>
                </c:pt>
                <c:pt idx="4">
                  <c:v>Харківське регіональне відділення 235 - 11,60 %</c:v>
                </c:pt>
                <c:pt idx="5">
                  <c:v>Чернівецьке регіональне відділення 104 - 5,13 %</c:v>
                </c:pt>
              </c:strCache>
            </c:strRef>
          </c:cat>
          <c:val>
            <c:numRef>
              <c:f>Лист1!$B$2:$B$7</c:f>
              <c:numCache>
                <c:formatCode>General</c:formatCode>
                <c:ptCount val="6"/>
                <c:pt idx="0">
                  <c:v>940</c:v>
                </c:pt>
                <c:pt idx="1">
                  <c:v>289</c:v>
                </c:pt>
                <c:pt idx="2">
                  <c:v>244</c:v>
                </c:pt>
                <c:pt idx="3">
                  <c:v>214</c:v>
                </c:pt>
                <c:pt idx="4">
                  <c:v>235</c:v>
                </c:pt>
                <c:pt idx="5">
                  <c:v>104</c:v>
                </c:pt>
              </c:numCache>
            </c:numRef>
          </c:val>
          <c:extLst>
            <c:ext xmlns:c16="http://schemas.microsoft.com/office/drawing/2014/chart" uri="{C3380CC4-5D6E-409C-BE32-E72D297353CC}">
              <c16:uniqueId val="{00000006-E74E-4D07-B5B2-C263941FFEE9}"/>
            </c:ext>
          </c:extLst>
        </c:ser>
        <c:ser>
          <c:idx val="1"/>
          <c:order val="1"/>
          <c:tx>
            <c:strRef>
              <c:f>Лист1!$C$1</c:f>
              <c:strCache>
                <c:ptCount val="1"/>
                <c:pt idx="0">
                  <c:v>Столбец1</c:v>
                </c:pt>
              </c:strCache>
            </c:strRef>
          </c:tx>
          <c:cat>
            <c:strRef>
              <c:f>Лист1!$A$2:$A$7</c:f>
              <c:strCache>
                <c:ptCount val="6"/>
                <c:pt idx="0">
                  <c:v>Відділ підготовки суддів                      (м. Київ) 940 - 46,40 %</c:v>
                </c:pt>
                <c:pt idx="1">
                  <c:v>Дніпровське регіональне відділення 289 - 14,27 %</c:v>
                </c:pt>
                <c:pt idx="2">
                  <c:v>Львівське регіональне відділення 244 - 12,04 %</c:v>
                </c:pt>
                <c:pt idx="3">
                  <c:v>Одеське регіональне відділення 214 - 10,56 %</c:v>
                </c:pt>
                <c:pt idx="4">
                  <c:v>Харківське регіональне відділення 235 - 11,60 %</c:v>
                </c:pt>
                <c:pt idx="5">
                  <c:v>Чернівецьке регіональне відділення 104 - 5,13 %</c:v>
                </c:pt>
              </c:strCache>
            </c:strRef>
          </c:cat>
          <c:val>
            <c:numRef>
              <c:f>Лист1!$C$2:$C$7</c:f>
              <c:numCache>
                <c:formatCode>General</c:formatCode>
                <c:ptCount val="6"/>
              </c:numCache>
            </c:numRef>
          </c:val>
          <c:extLst>
            <c:ext xmlns:c16="http://schemas.microsoft.com/office/drawing/2014/chart" uri="{C3380CC4-5D6E-409C-BE32-E72D297353CC}">
              <c16:uniqueId val="{00000007-E74E-4D07-B5B2-C263941FFEE9}"/>
            </c:ext>
          </c:extLst>
        </c:ser>
        <c:dLbls>
          <c:showLegendKey val="0"/>
          <c:showVal val="0"/>
          <c:showCatName val="0"/>
          <c:showSerName val="0"/>
          <c:showPercent val="0"/>
          <c:showBubbleSize val="0"/>
          <c:showLeaderLines val="0"/>
        </c:dLbls>
        <c:firstSliceAng val="0"/>
      </c:pieChart>
      <c:spPr>
        <a:noFill/>
        <a:ln w="25406">
          <a:noFill/>
        </a:ln>
      </c:spPr>
    </c:plotArea>
    <c:legend>
      <c:legendPos val="r"/>
      <c:layout>
        <c:manualLayout>
          <c:xMode val="edge"/>
          <c:yMode val="edge"/>
          <c:x val="0.62469546756892569"/>
          <c:y val="0.22758790052233602"/>
          <c:w val="0.32449989083174813"/>
          <c:h val="0.63811959148670772"/>
        </c:manualLayout>
      </c:layout>
      <c:overlay val="0"/>
      <c:txPr>
        <a:bodyPr/>
        <a:lstStyle/>
        <a:p>
          <a:pPr rtl="0">
            <a:defRPr sz="1196" b="0" baseline="0">
              <a:latin typeface="Times New Roman" pitchFamily="18" charset="0"/>
              <a:cs typeface="Times New Roman" pitchFamily="18" charset="0"/>
            </a:defRPr>
          </a:pPr>
          <a:endParaRPr lang="uk-UA"/>
        </a:p>
      </c:txPr>
    </c:legend>
    <c:plotVisOnly val="1"/>
    <c:dispBlanksAs val="zero"/>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fr-FR" sz="1200" b="1"/>
              <a:t>Periodic training of judges</a:t>
            </a:r>
            <a:r>
              <a:rPr lang="fr-FR" sz="1200"/>
              <a:t/>
            </a:r>
            <a:br>
              <a:rPr lang="fr-FR" sz="1200"/>
            </a:br>
            <a:r>
              <a:rPr lang="fr-FR" sz="1200" b="1"/>
              <a:t>in order to improve their qualifications</a:t>
            </a:r>
            <a:endParaRPr lang="fr-FR" sz="1200"/>
          </a:p>
          <a:p>
            <a:pPr>
              <a:defRPr sz="1200"/>
            </a:pPr>
            <a:r>
              <a:rPr lang="uk-UA" sz="1200" b="1" i="0" baseline="0"/>
              <a:t> </a:t>
            </a:r>
          </a:p>
        </c:rich>
      </c:tx>
      <c:layout>
        <c:manualLayout>
          <c:xMode val="edge"/>
          <c:yMode val="edge"/>
          <c:x val="0.31528451100475186"/>
          <c:y val="1.4429946256717908E-2"/>
        </c:manualLayout>
      </c:layout>
      <c:overlay val="0"/>
      <c:spPr>
        <a:noFill/>
        <a:ln w="25388">
          <a:noFill/>
        </a:ln>
      </c:spPr>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10509328487365958"/>
          <c:y val="0.1816803241482679"/>
          <c:w val="0.8219093201585107"/>
          <c:h val="0.62470841144857125"/>
        </c:manualLayout>
      </c:layout>
      <c:bar3DChart>
        <c:barDir val="col"/>
        <c:grouping val="stacked"/>
        <c:varyColors val="0"/>
        <c:ser>
          <c:idx val="0"/>
          <c:order val="0"/>
          <c:tx>
            <c:strRef>
              <c:f>Лист1!$B$1</c:f>
              <c:strCache>
                <c:ptCount val="1"/>
                <c:pt idx="0">
                  <c:v>ПЕРІОДИЧНЕ НАВЧАННЯ</c:v>
                </c:pt>
              </c:strCache>
            </c:strRef>
          </c:tx>
          <c:invertIfNegative val="0"/>
          <c:dLbls>
            <c:dLbl>
              <c:idx val="3"/>
              <c:tx>
                <c:rich>
                  <a:bodyPr/>
                  <a:lstStyle/>
                  <a:p>
                    <a:r>
                      <a:rPr lang="en-US" sz="1199">
                        <a:solidFill>
                          <a:srgbClr val="FF0000"/>
                        </a:solidFill>
                      </a:rPr>
                      <a:t>6085</a:t>
                    </a:r>
                    <a:endParaRPr lang="en-US" sz="1200"/>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CEC-4BA9-BFB5-8C9091713E36}"/>
                </c:ext>
              </c:extLst>
            </c:dLbl>
            <c:dLbl>
              <c:idx val="4"/>
              <c:tx>
                <c:rich>
                  <a:bodyPr/>
                  <a:lstStyle/>
                  <a:p>
                    <a:r>
                      <a:rPr lang="uk-UA" sz="1199">
                        <a:solidFill>
                          <a:srgbClr val="FF0000"/>
                        </a:solidFill>
                      </a:rPr>
                      <a:t>4031</a:t>
                    </a:r>
                    <a:endParaRPr lang="en-US" sz="1200"/>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CEC-4BA9-BFB5-8C9091713E36}"/>
                </c:ext>
              </c:extLst>
            </c:dLbl>
            <c:dLbl>
              <c:idx val="5"/>
              <c:tx>
                <c:rich>
                  <a:bodyPr/>
                  <a:lstStyle/>
                  <a:p>
                    <a:r>
                      <a:rPr lang="en-US">
                        <a:solidFill>
                          <a:srgbClr val="FF0000"/>
                        </a:solidFill>
                      </a:rPr>
                      <a:t>4</a:t>
                    </a:r>
                    <a:r>
                      <a:rPr lang="uk-UA">
                        <a:solidFill>
                          <a:srgbClr val="FF0000"/>
                        </a:solidFill>
                      </a:rPr>
                      <a:t>318</a:t>
                    </a:r>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CEC-4BA9-BFB5-8C9091713E36}"/>
                </c:ext>
              </c:extLst>
            </c:dLbl>
            <c:spPr>
              <a:noFill/>
              <a:ln w="25388">
                <a:noFill/>
              </a:ln>
            </c:spPr>
            <c:txPr>
              <a:bodyPr/>
              <a:lstStyle/>
              <a:p>
                <a:pPr>
                  <a:defRPr sz="1199">
                    <a:solidFill>
                      <a:schemeClr val="bg1"/>
                    </a:solidFill>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2"/>
                <c:pt idx="0">
                  <c:v>2020 рік</c:v>
                </c:pt>
                <c:pt idx="1">
                  <c:v>2021 рік</c:v>
                </c:pt>
              </c:strCache>
            </c:strRef>
          </c:cat>
          <c:val>
            <c:numRef>
              <c:f>Лист1!$B$2:$B$4</c:f>
              <c:numCache>
                <c:formatCode>General</c:formatCode>
                <c:ptCount val="2"/>
                <c:pt idx="0">
                  <c:v>4822</c:v>
                </c:pt>
                <c:pt idx="1">
                  <c:v>6056</c:v>
                </c:pt>
              </c:numCache>
            </c:numRef>
          </c:val>
          <c:extLst>
            <c:ext xmlns:c16="http://schemas.microsoft.com/office/drawing/2014/chart" uri="{C3380CC4-5D6E-409C-BE32-E72D297353CC}">
              <c16:uniqueId val="{00000003-6CEC-4BA9-BFB5-8C9091713E36}"/>
            </c:ext>
          </c:extLst>
        </c:ser>
        <c:dLbls>
          <c:showLegendKey val="0"/>
          <c:showVal val="0"/>
          <c:showCatName val="0"/>
          <c:showSerName val="0"/>
          <c:showPercent val="0"/>
          <c:showBubbleSize val="0"/>
        </c:dLbls>
        <c:gapWidth val="150"/>
        <c:shape val="box"/>
        <c:axId val="47596672"/>
        <c:axId val="47598208"/>
        <c:axId val="0"/>
      </c:bar3DChart>
      <c:catAx>
        <c:axId val="47596672"/>
        <c:scaling>
          <c:orientation val="minMax"/>
        </c:scaling>
        <c:delete val="0"/>
        <c:axPos val="b"/>
        <c:numFmt formatCode="General" sourceLinked="1"/>
        <c:majorTickMark val="out"/>
        <c:minorTickMark val="none"/>
        <c:tickLblPos val="nextTo"/>
        <c:txPr>
          <a:bodyPr/>
          <a:lstStyle/>
          <a:p>
            <a:pPr>
              <a:defRPr sz="1199"/>
            </a:pPr>
            <a:endParaRPr lang="uk-UA"/>
          </a:p>
        </c:txPr>
        <c:crossAx val="47598208"/>
        <c:crosses val="autoZero"/>
        <c:auto val="1"/>
        <c:lblAlgn val="ctr"/>
        <c:lblOffset val="100"/>
        <c:noMultiLvlLbl val="0"/>
      </c:catAx>
      <c:valAx>
        <c:axId val="47598208"/>
        <c:scaling>
          <c:orientation val="minMax"/>
          <c:min val="0"/>
        </c:scaling>
        <c:delete val="0"/>
        <c:axPos val="l"/>
        <c:majorGridlines/>
        <c:numFmt formatCode="General" sourceLinked="1"/>
        <c:majorTickMark val="out"/>
        <c:minorTickMark val="none"/>
        <c:tickLblPos val="nextTo"/>
        <c:txPr>
          <a:bodyPr/>
          <a:lstStyle/>
          <a:p>
            <a:pPr>
              <a:defRPr sz="1199"/>
            </a:pPr>
            <a:endParaRPr lang="uk-UA"/>
          </a:p>
        </c:txPr>
        <c:crossAx val="47596672"/>
        <c:crosses val="autoZero"/>
        <c:crossBetween val="between"/>
        <c:majorUnit val="1000"/>
      </c:valAx>
      <c:spPr>
        <a:noFill/>
        <a:ln w="25388">
          <a:noFill/>
        </a:ln>
      </c:spPr>
    </c:plotArea>
    <c:plotVisOnly val="1"/>
    <c:dispBlanksAs val="gap"/>
    <c:showDLblsOverMax val="0"/>
  </c:chart>
  <c:spPr>
    <a:ln>
      <a:solidFill>
        <a:sysClr val="windowText" lastClr="000000"/>
      </a:solidFill>
    </a:ln>
  </c:spPr>
  <c:txPr>
    <a:bodyPr/>
    <a:lstStyle/>
    <a:p>
      <a:pPr>
        <a:defRPr>
          <a:latin typeface="Times New Roman" pitchFamily="18" charset="0"/>
          <a:cs typeface="Times New Roman" pitchFamily="18" charset="0"/>
        </a:defRPr>
      </a:pPr>
      <a:endParaRPr lang="uk-UA"/>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200" b="1" i="0" u="none" strike="noStrike" kern="1200" baseline="0">
                <a:solidFill>
                  <a:sysClr val="windowText" lastClr="000000"/>
                </a:solidFill>
                <a:latin typeface="Times New Roman" pitchFamily="18" charset="0"/>
                <a:ea typeface="+mn-ea"/>
                <a:cs typeface="Times New Roman" pitchFamily="18" charset="0"/>
              </a:defRPr>
            </a:pPr>
            <a:r>
              <a:rPr lang="fr-FR" sz="1200" b="1"/>
              <a:t>Participation of structural units of the National School of Judges in periodic training of judges to improve their skills in 2021</a:t>
            </a:r>
            <a:r>
              <a:rPr lang="fr-FR" sz="1200"/>
              <a:t> </a:t>
            </a:r>
            <a:endParaRPr lang="ru-RU" sz="1200">
              <a:solidFill>
                <a:sysClr val="windowText" lastClr="000000"/>
              </a:solidFill>
            </a:endParaRPr>
          </a:p>
        </c:rich>
      </c:tx>
      <c:layout>
        <c:manualLayout>
          <c:xMode val="edge"/>
          <c:yMode val="edge"/>
          <c:x val="0.12658281133388677"/>
          <c:y val="2.7280627926259814E-2"/>
        </c:manualLayout>
      </c:layout>
      <c:overlay val="0"/>
      <c:spPr>
        <a:noFill/>
        <a:ln w="25128">
          <a:noFill/>
        </a:ln>
      </c:spPr>
    </c:title>
    <c:autoTitleDeleted val="0"/>
    <c:plotArea>
      <c:layout/>
      <c:pieChart>
        <c:varyColors val="1"/>
        <c:ser>
          <c:idx val="0"/>
          <c:order val="0"/>
          <c:tx>
            <c:strRef>
              <c:f>Лист1!$B$1</c:f>
              <c:strCache>
                <c:ptCount val="1"/>
                <c:pt idx="0">
                  <c:v>ПЕРІОДИЧНЕ НАВЧАННЯ</c:v>
                </c:pt>
              </c:strCache>
            </c:strRef>
          </c:tx>
          <c:dPt>
            <c:idx val="0"/>
            <c:bubble3D val="0"/>
            <c:extLst>
              <c:ext xmlns:c16="http://schemas.microsoft.com/office/drawing/2014/chart" uri="{C3380CC4-5D6E-409C-BE32-E72D297353CC}">
                <c16:uniqueId val="{00000000-A7A7-4921-BC95-F161B357231F}"/>
              </c:ext>
            </c:extLst>
          </c:dPt>
          <c:dPt>
            <c:idx val="1"/>
            <c:bubble3D val="0"/>
            <c:extLst>
              <c:ext xmlns:c16="http://schemas.microsoft.com/office/drawing/2014/chart" uri="{C3380CC4-5D6E-409C-BE32-E72D297353CC}">
                <c16:uniqueId val="{00000001-A7A7-4921-BC95-F161B357231F}"/>
              </c:ext>
            </c:extLst>
          </c:dPt>
          <c:dPt>
            <c:idx val="2"/>
            <c:bubble3D val="0"/>
            <c:extLst>
              <c:ext xmlns:c16="http://schemas.microsoft.com/office/drawing/2014/chart" uri="{C3380CC4-5D6E-409C-BE32-E72D297353CC}">
                <c16:uniqueId val="{00000002-A7A7-4921-BC95-F161B357231F}"/>
              </c:ext>
            </c:extLst>
          </c:dPt>
          <c:dPt>
            <c:idx val="3"/>
            <c:bubble3D val="0"/>
            <c:extLst>
              <c:ext xmlns:c16="http://schemas.microsoft.com/office/drawing/2014/chart" uri="{C3380CC4-5D6E-409C-BE32-E72D297353CC}">
                <c16:uniqueId val="{00000003-A7A7-4921-BC95-F161B357231F}"/>
              </c:ext>
            </c:extLst>
          </c:dPt>
          <c:dPt>
            <c:idx val="4"/>
            <c:bubble3D val="0"/>
            <c:extLst>
              <c:ext xmlns:c16="http://schemas.microsoft.com/office/drawing/2014/chart" uri="{C3380CC4-5D6E-409C-BE32-E72D297353CC}">
                <c16:uniqueId val="{00000004-A7A7-4921-BC95-F161B357231F}"/>
              </c:ext>
            </c:extLst>
          </c:dPt>
          <c:dPt>
            <c:idx val="5"/>
            <c:bubble3D val="0"/>
            <c:extLst>
              <c:ext xmlns:c16="http://schemas.microsoft.com/office/drawing/2014/chart" uri="{C3380CC4-5D6E-409C-BE32-E72D297353CC}">
                <c16:uniqueId val="{00000005-A7A7-4921-BC95-F161B357231F}"/>
              </c:ext>
            </c:extLst>
          </c:dPt>
          <c:dLbls>
            <c:dLbl>
              <c:idx val="0"/>
              <c:layout>
                <c:manualLayout>
                  <c:x val="-0.13830237566458037"/>
                  <c:y val="3.0823242394961731E-2"/>
                </c:manualLayout>
              </c:layout>
              <c:tx>
                <c:rich>
                  <a:bodyPr/>
                  <a:lstStyle/>
                  <a:p>
                    <a:r>
                      <a:rPr lang="en-US" sz="1183">
                        <a:latin typeface="Times New Roman" pitchFamily="18" charset="0"/>
                        <a:cs typeface="Times New Roman" pitchFamily="18" charset="0"/>
                      </a:rPr>
                      <a:t>34,86 %</a:t>
                    </a:r>
                    <a:endParaRPr lang="en-US" sz="1200">
                      <a:latin typeface="Times New Roman" pitchFamily="18" charset="0"/>
                      <a:cs typeface="Times New Roman" pitchFamily="18" charset="0"/>
                    </a:endParaRPr>
                  </a:p>
                </c:rich>
              </c:tx>
              <c:dLblPos val="bestFit"/>
              <c:showLegendKey val="0"/>
              <c:showVal val="0"/>
              <c:showCatName val="0"/>
              <c:showSerName val="0"/>
              <c:showPercent val="0"/>
              <c:showBubbleSize val="0"/>
              <c:extLst>
                <c:ext xmlns:c15="http://schemas.microsoft.com/office/drawing/2012/chart" uri="{CE6537A1-D6FC-4f65-9D91-7224C49458BB}">
                  <c15:layout>
                    <c:manualLayout>
                      <c:w val="0.12311965811965812"/>
                      <c:h val="0.10168842471714534"/>
                    </c:manualLayout>
                  </c15:layout>
                </c:ext>
                <c:ext xmlns:c16="http://schemas.microsoft.com/office/drawing/2014/chart" uri="{C3380CC4-5D6E-409C-BE32-E72D297353CC}">
                  <c16:uniqueId val="{00000000-A7A7-4921-BC95-F161B357231F}"/>
                </c:ext>
              </c:extLst>
            </c:dLbl>
            <c:dLbl>
              <c:idx val="1"/>
              <c:layout>
                <c:manualLayout>
                  <c:x val="1.5061242344706951E-2"/>
                  <c:y val="-6.6056755960336522E-3"/>
                </c:manualLayout>
              </c:layout>
              <c:tx>
                <c:rich>
                  <a:bodyPr/>
                  <a:lstStyle/>
                  <a:p>
                    <a:pPr>
                      <a:defRPr sz="1183">
                        <a:solidFill>
                          <a:sysClr val="windowText" lastClr="000000"/>
                        </a:solidFill>
                        <a:latin typeface="Times New Roman" pitchFamily="18" charset="0"/>
                        <a:cs typeface="Times New Roman" pitchFamily="18" charset="0"/>
                      </a:defRPr>
                    </a:pPr>
                    <a:r>
                      <a:rPr lang="en-US">
                        <a:solidFill>
                          <a:sysClr val="windowText" lastClr="000000"/>
                        </a:solidFill>
                      </a:rPr>
                      <a:t>15,74</a:t>
                    </a:r>
                    <a:r>
                      <a:rPr lang="en-US" baseline="0">
                        <a:solidFill>
                          <a:sysClr val="windowText" lastClr="000000"/>
                        </a:solidFill>
                      </a:rPr>
                      <a:t> </a:t>
                    </a:r>
                    <a:r>
                      <a:rPr lang="en-US">
                        <a:solidFill>
                          <a:sysClr val="windowText" lastClr="000000"/>
                        </a:solidFill>
                      </a:rPr>
                      <a:t>%</a:t>
                    </a:r>
                  </a:p>
                </c:rich>
              </c:tx>
              <c:spPr>
                <a:noFill/>
                <a:ln w="25128">
                  <a:noFill/>
                </a:ln>
              </c:spPr>
              <c:dLblPos val="bestFit"/>
              <c:showLegendKey val="0"/>
              <c:showVal val="0"/>
              <c:showCatName val="0"/>
              <c:showSerName val="0"/>
              <c:showPercent val="0"/>
              <c:showBubbleSize val="0"/>
              <c:extLst>
                <c:ext xmlns:c15="http://schemas.microsoft.com/office/drawing/2012/chart" uri="{CE6537A1-D6FC-4f65-9D91-7224C49458BB}">
                  <c15:layout>
                    <c:manualLayout>
                      <c:w val="0.11884615384615385"/>
                      <c:h val="0.10516971279373367"/>
                    </c:manualLayout>
                  </c15:layout>
                </c:ext>
                <c:ext xmlns:c16="http://schemas.microsoft.com/office/drawing/2014/chart" uri="{C3380CC4-5D6E-409C-BE32-E72D297353CC}">
                  <c16:uniqueId val="{00000001-A7A7-4921-BC95-F161B357231F}"/>
                </c:ext>
              </c:extLst>
            </c:dLbl>
            <c:dLbl>
              <c:idx val="2"/>
              <c:layout>
                <c:manualLayout>
                  <c:x val="3.7150043744531895E-2"/>
                  <c:y val="-2.6417905333634861E-2"/>
                </c:manualLayout>
              </c:layout>
              <c:tx>
                <c:rich>
                  <a:bodyPr/>
                  <a:lstStyle/>
                  <a:p>
                    <a:pPr>
                      <a:defRPr sz="1183">
                        <a:solidFill>
                          <a:sysClr val="windowText" lastClr="000000"/>
                        </a:solidFill>
                        <a:latin typeface="Times New Roman" pitchFamily="18" charset="0"/>
                        <a:cs typeface="Times New Roman" pitchFamily="18" charset="0"/>
                      </a:defRPr>
                    </a:pPr>
                    <a:r>
                      <a:rPr lang="en-US" baseline="0">
                        <a:solidFill>
                          <a:sysClr val="windowText" lastClr="000000"/>
                        </a:solidFill>
                      </a:rPr>
                      <a:t>7,41 </a:t>
                    </a:r>
                    <a:r>
                      <a:rPr lang="en-US">
                        <a:solidFill>
                          <a:sysClr val="windowText" lastClr="000000"/>
                        </a:solidFill>
                      </a:rPr>
                      <a:t>%</a:t>
                    </a:r>
                  </a:p>
                </c:rich>
              </c:tx>
              <c:spPr>
                <a:noFill/>
                <a:ln w="25128">
                  <a:noFill/>
                </a:ln>
              </c:spPr>
              <c:dLblPos val="bestFit"/>
              <c:showLegendKey val="0"/>
              <c:showVal val="0"/>
              <c:showCatName val="0"/>
              <c:showSerName val="0"/>
              <c:showPercent val="0"/>
              <c:showBubbleSize val="0"/>
              <c:extLst>
                <c:ext xmlns:c15="http://schemas.microsoft.com/office/drawing/2012/chart" uri="{CE6537A1-D6FC-4f65-9D91-7224C49458BB}">
                  <c15:layout>
                    <c:manualLayout>
                      <c:w val="9.930563967965543E-2"/>
                      <c:h val="0.11350753479574843"/>
                    </c:manualLayout>
                  </c15:layout>
                </c:ext>
                <c:ext xmlns:c16="http://schemas.microsoft.com/office/drawing/2014/chart" uri="{C3380CC4-5D6E-409C-BE32-E72D297353CC}">
                  <c16:uniqueId val="{00000002-A7A7-4921-BC95-F161B357231F}"/>
                </c:ext>
              </c:extLst>
            </c:dLbl>
            <c:dLbl>
              <c:idx val="3"/>
              <c:layout>
                <c:manualLayout>
                  <c:x val="0.10338128407026045"/>
                  <c:y val="-3.6237467705570875E-2"/>
                </c:manualLayout>
              </c:layout>
              <c:tx>
                <c:rich>
                  <a:bodyPr/>
                  <a:lstStyle/>
                  <a:p>
                    <a:r>
                      <a:rPr lang="en-US"/>
                      <a:t>14,93</a:t>
                    </a:r>
                    <a:r>
                      <a:rPr lang="en-US" baseline="0"/>
                      <a:t> </a:t>
                    </a:r>
                    <a:r>
                      <a:rPr lang="en-US"/>
                      <a:t>%</a:t>
                    </a:r>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7A7-4921-BC95-F161B357231F}"/>
                </c:ext>
              </c:extLst>
            </c:dLbl>
            <c:dLbl>
              <c:idx val="4"/>
              <c:tx>
                <c:rich>
                  <a:bodyPr/>
                  <a:lstStyle/>
                  <a:p>
                    <a:r>
                      <a:rPr lang="en-US"/>
                      <a:t>14,35</a:t>
                    </a:r>
                    <a:r>
                      <a:rPr lang="en-US" baseline="0"/>
                      <a:t> </a:t>
                    </a:r>
                    <a:r>
                      <a:rPr lang="en-US"/>
                      <a:t>%</a:t>
                    </a:r>
                  </a:p>
                </c:rich>
              </c:tx>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7A7-4921-BC95-F161B357231F}"/>
                </c:ext>
              </c:extLst>
            </c:dLbl>
            <c:dLbl>
              <c:idx val="5"/>
              <c:layout>
                <c:manualLayout>
                  <c:x val="8.2279005989635917E-2"/>
                  <c:y val="0.11765410524728796"/>
                </c:manualLayout>
              </c:layout>
              <c:tx>
                <c:rich>
                  <a:bodyPr/>
                  <a:lstStyle/>
                  <a:p>
                    <a:pPr>
                      <a:defRPr sz="1170">
                        <a:solidFill>
                          <a:schemeClr val="bg1"/>
                        </a:solidFill>
                        <a:latin typeface="Times New Roman" pitchFamily="18" charset="0"/>
                        <a:cs typeface="Times New Roman" pitchFamily="18" charset="0"/>
                      </a:defRPr>
                    </a:pPr>
                    <a:r>
                      <a:rPr lang="en-US">
                        <a:solidFill>
                          <a:schemeClr val="bg1"/>
                        </a:solidFill>
                      </a:rPr>
                      <a:t>12,71 %</a:t>
                    </a:r>
                  </a:p>
                </c:rich>
              </c:tx>
              <c:spPr>
                <a:noFill/>
                <a:ln w="25128">
                  <a:noFill/>
                </a:ln>
              </c:spPr>
              <c:dLblPos val="bestFit"/>
              <c:showLegendKey val="0"/>
              <c:showVal val="0"/>
              <c:showCatName val="0"/>
              <c:showSerName val="0"/>
              <c:showPercent val="0"/>
              <c:showBubbleSize val="0"/>
              <c:extLst>
                <c:ext xmlns:c15="http://schemas.microsoft.com/office/drawing/2012/chart" uri="{CE6537A1-D6FC-4f65-9D91-7224C49458BB}">
                  <c15:layout>
                    <c:manualLayout>
                      <c:w val="0.13317299279897704"/>
                      <c:h val="6.9277632724107918E-2"/>
                    </c:manualLayout>
                  </c15:layout>
                </c:ext>
                <c:ext xmlns:c16="http://schemas.microsoft.com/office/drawing/2014/chart" uri="{C3380CC4-5D6E-409C-BE32-E72D297353CC}">
                  <c16:uniqueId val="{00000005-A7A7-4921-BC95-F161B357231F}"/>
                </c:ext>
              </c:extLst>
            </c:dLbl>
            <c:spPr>
              <a:noFill/>
              <a:ln w="25128">
                <a:noFill/>
              </a:ln>
            </c:spPr>
            <c:txPr>
              <a:bodyPr/>
              <a:lstStyle/>
              <a:p>
                <a:pPr>
                  <a:defRPr sz="1183">
                    <a:solidFill>
                      <a:schemeClr val="bg1"/>
                    </a:solidFill>
                    <a:latin typeface="Times New Roman" pitchFamily="18" charset="0"/>
                    <a:cs typeface="Times New Roman" pitchFamily="18" charset="0"/>
                  </a:defRPr>
                </a:pPr>
                <a:endParaRPr lang="uk-UA"/>
              </a:p>
            </c:txPr>
            <c:showLegendKey val="0"/>
            <c:showVal val="0"/>
            <c:showCatName val="0"/>
            <c:showSerName val="0"/>
            <c:showPercent val="1"/>
            <c:showBubbleSize val="0"/>
            <c:showLeaderLines val="1"/>
            <c:extLst>
              <c:ext xmlns:c15="http://schemas.microsoft.com/office/drawing/2012/chart" uri="{CE6537A1-D6FC-4f65-9D91-7224C49458BB}"/>
            </c:extLst>
          </c:dLbls>
          <c:cat>
            <c:strRef>
              <c:f>Лист1!$A$2:$A$7</c:f>
              <c:strCache>
                <c:ptCount val="6"/>
                <c:pt idx="0">
                  <c:v>Відділ підготовки суддів        (м. Київ) 2111 - 34,86 %</c:v>
                </c:pt>
                <c:pt idx="1">
                  <c:v>Дніпровське регіональне відділення 953 - 15,74 %</c:v>
                </c:pt>
                <c:pt idx="2">
                  <c:v>Львівське регіональне відділення 449 - 7,41 %</c:v>
                </c:pt>
                <c:pt idx="3">
                  <c:v>Одеське регіональне відділення 904 - 14,93 %</c:v>
                </c:pt>
                <c:pt idx="4">
                  <c:v>Харківське регіональне відділення 869 - 14,35 %</c:v>
                </c:pt>
                <c:pt idx="5">
                  <c:v>Чернівецьке регіональне відділення 770 - 12,71 %</c:v>
                </c:pt>
              </c:strCache>
            </c:strRef>
          </c:cat>
          <c:val>
            <c:numRef>
              <c:f>Лист1!$B$2:$B$7</c:f>
              <c:numCache>
                <c:formatCode>General</c:formatCode>
                <c:ptCount val="6"/>
                <c:pt idx="0">
                  <c:v>2111</c:v>
                </c:pt>
                <c:pt idx="1">
                  <c:v>953</c:v>
                </c:pt>
                <c:pt idx="2">
                  <c:v>449</c:v>
                </c:pt>
                <c:pt idx="3">
                  <c:v>904</c:v>
                </c:pt>
                <c:pt idx="4">
                  <c:v>869</c:v>
                </c:pt>
                <c:pt idx="5">
                  <c:v>770</c:v>
                </c:pt>
              </c:numCache>
            </c:numRef>
          </c:val>
          <c:extLst>
            <c:ext xmlns:c16="http://schemas.microsoft.com/office/drawing/2014/chart" uri="{C3380CC4-5D6E-409C-BE32-E72D297353CC}">
              <c16:uniqueId val="{00000006-A7A7-4921-BC95-F161B357231F}"/>
            </c:ext>
          </c:extLst>
        </c:ser>
        <c:dLbls>
          <c:showLegendKey val="0"/>
          <c:showVal val="0"/>
          <c:showCatName val="0"/>
          <c:showSerName val="0"/>
          <c:showPercent val="0"/>
          <c:showBubbleSize val="0"/>
          <c:showLeaderLines val="1"/>
        </c:dLbls>
        <c:firstSliceAng val="0"/>
      </c:pieChart>
      <c:spPr>
        <a:noFill/>
        <a:ln w="25128">
          <a:noFill/>
        </a:ln>
      </c:spPr>
    </c:plotArea>
    <c:legend>
      <c:legendPos val="r"/>
      <c:layout>
        <c:manualLayout>
          <c:xMode val="edge"/>
          <c:yMode val="edge"/>
          <c:x val="0.60402958416140473"/>
          <c:y val="0.26010910156420475"/>
          <c:w val="0.35238551818217378"/>
          <c:h val="0.66856989669640465"/>
        </c:manualLayout>
      </c:layout>
      <c:overlay val="0"/>
      <c:txPr>
        <a:bodyPr/>
        <a:lstStyle/>
        <a:p>
          <a:pPr>
            <a:defRPr sz="1183">
              <a:latin typeface="Times New Roman" pitchFamily="18" charset="0"/>
              <a:cs typeface="Times New Roman" pitchFamily="18" charset="0"/>
            </a:defRPr>
          </a:pPr>
          <a:endParaRPr lang="uk-UA"/>
        </a:p>
      </c:txPr>
    </c:legend>
    <c:plotVisOnly val="1"/>
    <c:dispBlanksAs val="zero"/>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hart>
    <c:title>
      <c:tx>
        <c:rich>
          <a:bodyPr rot="0" spcFirstLastPara="1" vertOverflow="ellipsis" vert="horz" wrap="square" anchor="ctr" anchorCtr="1"/>
          <a:lstStyle/>
          <a:p>
            <a:pPr>
              <a:defRPr sz="1200" b="1" i="0" u="none" strike="noStrike" kern="1200" baseline="0">
                <a:solidFill>
                  <a:schemeClr val="tx1"/>
                </a:solidFill>
                <a:latin typeface="Times New Roman" pitchFamily="18" charset="0"/>
                <a:ea typeface="+mn-ea"/>
                <a:cs typeface="Times New Roman" pitchFamily="18" charset="0"/>
              </a:defRPr>
            </a:pPr>
            <a:r>
              <a:rPr lang="fr-FR" b="1"/>
              <a:t>Generalised data from the survey of judges</a:t>
            </a:r>
            <a:endParaRPr lang="fr-FR"/>
          </a:p>
        </c:rich>
      </c:tx>
      <c:overlay val="0"/>
      <c:spPr>
        <a:noFill/>
        <a:ln w="25364">
          <a:noFill/>
        </a:ln>
        <a:effectLst/>
      </c:spPr>
    </c:title>
    <c:autoTitleDeleted val="0"/>
    <c:view3D>
      <c:rotX val="15"/>
      <c:rotY val="20"/>
      <c:depthPercent val="100"/>
      <c:rAngAx val="1"/>
    </c:view3D>
    <c:floor>
      <c:thickness val="0"/>
      <c:spPr>
        <a:noFill/>
        <a:ln w="6350" cap="flat" cmpd="sng" algn="ctr">
          <a:solidFill>
            <a:schemeClr val="tx1">
              <a:tint val="75000"/>
            </a:schemeClr>
          </a:solidFill>
          <a:prstDash val="solid"/>
          <a:round/>
        </a:ln>
        <a:effectLst/>
        <a:sp3d contourW="6350">
          <a:contourClr>
            <a:schemeClr val="tx1">
              <a:tint val="75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0065025655576884E-2"/>
          <c:y val="8.3577424722736285E-2"/>
          <c:w val="0.76304304304304416"/>
          <c:h val="0.78355381197185059"/>
        </c:manualLayout>
      </c:layout>
      <c:bar3DChart>
        <c:barDir val="col"/>
        <c:grouping val="clustered"/>
        <c:varyColors val="0"/>
        <c:ser>
          <c:idx val="0"/>
          <c:order val="0"/>
          <c:tx>
            <c:strRef>
              <c:f>Лист1!$B$1</c:f>
              <c:strCache>
                <c:ptCount val="1"/>
                <c:pt idx="0">
                  <c:v>2019 рік</c:v>
                </c:pt>
              </c:strCache>
            </c:strRef>
          </c:tx>
          <c:spPr>
            <a:solidFill>
              <a:schemeClr val="accent5">
                <a:shade val="65000"/>
              </a:schemeClr>
            </a:solidFill>
            <a:ln>
              <a:noFill/>
            </a:ln>
            <a:effectLst/>
            <a:sp3d/>
          </c:spPr>
          <c:invertIfNegative val="0"/>
          <c:dLbls>
            <c:dLbl>
              <c:idx val="0"/>
              <c:layout>
                <c:manualLayout>
                  <c:x val="-1.2929379873152905E-17"/>
                  <c:y val="-3.1760433302339804E-2"/>
                </c:manualLayout>
              </c:layout>
              <c:tx>
                <c:rich>
                  <a:bodyPr/>
                  <a:lstStyle/>
                  <a:p>
                    <a:r>
                      <a:rPr lang="en-US" b="1">
                        <a:latin typeface="Times New Roman" pitchFamily="18" charset="0"/>
                        <a:cs typeface="Times New Roman" pitchFamily="18" charset="0"/>
                      </a:rPr>
                      <a:t>      80%</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6DD-410E-8458-445CEF46239D}"/>
                </c:ext>
              </c:extLst>
            </c:dLbl>
            <c:dLbl>
              <c:idx val="1"/>
              <c:layout>
                <c:manualLayout>
                  <c:x val="2.7398110824443335E-3"/>
                  <c:y val="-2.832178715391578E-2"/>
                </c:manualLayout>
              </c:layout>
              <c:tx>
                <c:rich>
                  <a:bodyPr/>
                  <a:lstStyle/>
                  <a:p>
                    <a:r>
                      <a:rPr lang="en-US" b="1">
                        <a:latin typeface="Times New Roman" pitchFamily="18" charset="0"/>
                        <a:cs typeface="Times New Roman" pitchFamily="18" charset="0"/>
                      </a:rPr>
                      <a:t>     79%</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6DD-410E-8458-445CEF46239D}"/>
                </c:ext>
              </c:extLst>
            </c:dLbl>
            <c:dLbl>
              <c:idx val="2"/>
              <c:layout>
                <c:manualLayout>
                  <c:x val="2.8209881966078246E-3"/>
                  <c:y val="-1.9551737884801045E-2"/>
                </c:manualLayout>
              </c:layout>
              <c:tx>
                <c:rich>
                  <a:bodyPr/>
                  <a:lstStyle/>
                  <a:p>
                    <a:r>
                      <a:rPr lang="en-US" b="1">
                        <a:latin typeface="Times New Roman" pitchFamily="18" charset="0"/>
                        <a:cs typeface="Times New Roman" pitchFamily="18" charset="0"/>
                      </a:rPr>
                      <a:t>80%</a:t>
                    </a:r>
                  </a:p>
                </c:rich>
              </c:tx>
              <c:showLegendKey val="0"/>
              <c:showVal val="0"/>
              <c:showCatName val="0"/>
              <c:showSerName val="0"/>
              <c:showPercent val="0"/>
              <c:showBubbleSize val="0"/>
              <c:extLst>
                <c:ext xmlns:c15="http://schemas.microsoft.com/office/drawing/2012/chart" uri="{CE6537A1-D6FC-4f65-9D91-7224C49458BB}">
                  <c15:layout>
                    <c:manualLayout>
                      <c:w val="5.3953102303382447E-2"/>
                      <c:h val="2.8148329457838697E-2"/>
                    </c:manualLayout>
                  </c15:layout>
                </c:ext>
                <c:ext xmlns:c16="http://schemas.microsoft.com/office/drawing/2014/chart" uri="{C3380CC4-5D6E-409C-BE32-E72D297353CC}">
                  <c16:uniqueId val="{00000002-36DD-410E-8458-445CEF46239D}"/>
                </c:ext>
              </c:extLst>
            </c:dLbl>
            <c:dLbl>
              <c:idx val="3"/>
              <c:layout>
                <c:manualLayout>
                  <c:x val="0"/>
                  <c:y val="-1.9056259981403891E-2"/>
                </c:manualLayout>
              </c:layout>
              <c:tx>
                <c:rich>
                  <a:bodyPr/>
                  <a:lstStyle/>
                  <a:p>
                    <a:r>
                      <a:rPr lang="en-US" b="1">
                        <a:latin typeface="Times New Roman" pitchFamily="18" charset="0"/>
                        <a:cs typeface="Times New Roman" pitchFamily="18" charset="0"/>
                      </a:rPr>
                      <a:t>76%</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6DD-410E-8458-445CEF46239D}"/>
                </c:ext>
              </c:extLst>
            </c:dLbl>
            <c:dLbl>
              <c:idx val="4"/>
              <c:layout>
                <c:manualLayout>
                  <c:x val="0"/>
                  <c:y val="-1.2704173320935978E-2"/>
                </c:manualLayout>
              </c:layout>
              <c:tx>
                <c:rich>
                  <a:bodyPr/>
                  <a:lstStyle/>
                  <a:p>
                    <a:r>
                      <a:rPr lang="en-US" b="1">
                        <a:latin typeface="Times New Roman" pitchFamily="18" charset="0"/>
                        <a:cs typeface="Times New Roman" pitchFamily="18" charset="0"/>
                      </a:rPr>
                      <a:t>78%</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6DD-410E-8458-445CEF46239D}"/>
                </c:ext>
              </c:extLst>
            </c:dLbl>
            <c:dLbl>
              <c:idx val="5"/>
              <c:layout>
                <c:manualLayout>
                  <c:x val="2.8209881966077752E-3"/>
                  <c:y val="-2.540834664187195E-2"/>
                </c:manualLayout>
              </c:layout>
              <c:tx>
                <c:rich>
                  <a:bodyPr/>
                  <a:lstStyle/>
                  <a:p>
                    <a:r>
                      <a:rPr lang="en-US" b="1">
                        <a:latin typeface="Times New Roman" pitchFamily="18" charset="0"/>
                        <a:cs typeface="Times New Roman" pitchFamily="18" charset="0"/>
                      </a:rPr>
                      <a:t>84%</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6DD-410E-8458-445CEF46239D}"/>
                </c:ext>
              </c:extLst>
            </c:dLbl>
            <c:spPr>
              <a:noFill/>
              <a:ln w="25364">
                <a:noFill/>
              </a:ln>
              <a:effectLst/>
            </c:spPr>
            <c:txPr>
              <a:bodyPr rot="0" spcFirstLastPara="1" vertOverflow="ellipsis" vert="horz" wrap="square" anchor="ctr" anchorCtr="1"/>
              <a:lstStyle/>
              <a:p>
                <a:pPr>
                  <a:defRPr sz="1000" b="1" i="0" u="none" strike="noStrike" kern="1200" baseline="0">
                    <a:solidFill>
                      <a:schemeClr val="tx1"/>
                    </a:solidFill>
                    <a:latin typeface="Times New Roman" pitchFamily="18" charset="0"/>
                    <a:ea typeface="+mn-ea"/>
                    <a:cs typeface="Times New Roman"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4"/>
                <c:pt idx="0">
                  <c:v>Досягнуті заплановані цілі підготовки</c:v>
                </c:pt>
                <c:pt idx="1">
                  <c:v>Ефективність інтерактивних лекцій  як форми навчання</c:v>
                </c:pt>
                <c:pt idx="2">
                  <c:v>Ефективність тренінгів як форми навчання</c:v>
                </c:pt>
                <c:pt idx="3">
                  <c:v>Ефективність семінарів як форми навчання</c:v>
                </c:pt>
              </c:strCache>
            </c:strRef>
          </c:cat>
          <c:val>
            <c:numRef>
              <c:f>Лист1!$B$2:$B$5</c:f>
            </c:numRef>
          </c:val>
          <c:extLst>
            <c:ext xmlns:c16="http://schemas.microsoft.com/office/drawing/2014/chart" uri="{C3380CC4-5D6E-409C-BE32-E72D297353CC}">
              <c16:uniqueId val="{00000006-36DD-410E-8458-445CEF46239D}"/>
            </c:ext>
          </c:extLst>
        </c:ser>
        <c:ser>
          <c:idx val="1"/>
          <c:order val="1"/>
          <c:tx>
            <c:strRef>
              <c:f>Лист1!$C$1</c:f>
              <c:strCache>
                <c:ptCount val="1"/>
                <c:pt idx="0">
                  <c:v>2020 рік</c:v>
                </c:pt>
              </c:strCache>
            </c:strRef>
          </c:tx>
          <c:spPr>
            <a:solidFill>
              <a:schemeClr val="accent5"/>
            </a:solidFill>
            <a:ln>
              <a:noFill/>
            </a:ln>
            <a:effectLst/>
            <a:sp3d/>
          </c:spPr>
          <c:invertIfNegative val="0"/>
          <c:dLbls>
            <c:dLbl>
              <c:idx val="0"/>
              <c:layout>
                <c:manualLayout>
                  <c:x val="-6.8086789006116012E-3"/>
                  <c:y val="3.4646825675979154E-2"/>
                </c:manualLayout>
              </c:layout>
              <c:tx>
                <c:rich>
                  <a:bodyPr/>
                  <a:lstStyle/>
                  <a:p>
                    <a:r>
                      <a:rPr lang="en-US" b="1">
                        <a:latin typeface="Times New Roman" pitchFamily="18" charset="0"/>
                        <a:cs typeface="Times New Roman" pitchFamily="18" charset="0"/>
                      </a:rPr>
                      <a:t> 92%</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6DD-410E-8458-445CEF46239D}"/>
                </c:ext>
              </c:extLst>
            </c:dLbl>
            <c:dLbl>
              <c:idx val="1"/>
              <c:layout>
                <c:manualLayout>
                  <c:x val="-4.0690312133892965E-3"/>
                  <c:y val="4.8284744299264555E-2"/>
                </c:manualLayout>
              </c:layout>
              <c:tx>
                <c:rich>
                  <a:bodyPr rot="0" spcFirstLastPara="1" vertOverflow="ellipsis" vert="horz" wrap="square" lIns="38100" tIns="19050" rIns="38100" bIns="19050" anchor="ctr" anchorCtr="1">
                    <a:noAutofit/>
                  </a:bodyPr>
                  <a:lstStyle/>
                  <a:p>
                    <a:pPr>
                      <a:defRPr sz="1000" b="0" i="0" u="none" strike="noStrike" kern="1200" baseline="0">
                        <a:solidFill>
                          <a:schemeClr val="tx1"/>
                        </a:solidFill>
                        <a:latin typeface="+mn-lt"/>
                        <a:ea typeface="+mn-ea"/>
                        <a:cs typeface="+mn-cs"/>
                      </a:defRPr>
                    </a:pPr>
                    <a:r>
                      <a:rPr lang="en-US" b="1">
                        <a:latin typeface="Times New Roman" pitchFamily="18" charset="0"/>
                        <a:cs typeface="Times New Roman" pitchFamily="18" charset="0"/>
                      </a:rPr>
                      <a:t>86%</a:t>
                    </a:r>
                  </a:p>
                </c:rich>
              </c:tx>
              <c:spPr>
                <a:noFill/>
                <a:ln>
                  <a:noFill/>
                </a:ln>
                <a:effectLst/>
              </c:spPr>
              <c:showLegendKey val="0"/>
              <c:showVal val="0"/>
              <c:showCatName val="0"/>
              <c:showSerName val="0"/>
              <c:showPercent val="0"/>
              <c:showBubbleSize val="0"/>
              <c:extLst>
                <c:ext xmlns:c15="http://schemas.microsoft.com/office/drawing/2012/chart" uri="{CE6537A1-D6FC-4f65-9D91-7224C49458BB}">
                  <c15:layout>
                    <c:manualLayout>
                      <c:w val="5.3953102303382447E-2"/>
                      <c:h val="4.0386733569942476E-2"/>
                    </c:manualLayout>
                  </c15:layout>
                </c:ext>
                <c:ext xmlns:c16="http://schemas.microsoft.com/office/drawing/2014/chart" uri="{C3380CC4-5D6E-409C-BE32-E72D297353CC}">
                  <c16:uniqueId val="{00000008-36DD-410E-8458-445CEF46239D}"/>
                </c:ext>
              </c:extLst>
            </c:dLbl>
            <c:dLbl>
              <c:idx val="2"/>
              <c:layout>
                <c:manualLayout>
                  <c:x val="-7.3921632383625894E-3"/>
                  <c:y val="4.2864094931469858E-2"/>
                </c:manualLayout>
              </c:layout>
              <c:tx>
                <c:rich>
                  <a:bodyPr/>
                  <a:lstStyle/>
                  <a:p>
                    <a:r>
                      <a:rPr lang="en-US" b="1">
                        <a:latin typeface="Times New Roman" pitchFamily="18" charset="0"/>
                        <a:cs typeface="Times New Roman" pitchFamily="18" charset="0"/>
                      </a:rPr>
                      <a:t>85%</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6DD-410E-8458-445CEF46239D}"/>
                </c:ext>
              </c:extLst>
            </c:dLbl>
            <c:dLbl>
              <c:idx val="3"/>
              <c:layout>
                <c:manualLayout>
                  <c:x val="-9.6216910425105159E-3"/>
                  <c:y val="4.4818963166258316E-2"/>
                </c:manualLayout>
              </c:layout>
              <c:tx>
                <c:rich>
                  <a:bodyPr rot="0" spcFirstLastPara="1" vertOverflow="ellipsis" vert="horz" wrap="square" lIns="38100" tIns="19050" rIns="38100" bIns="19050" anchor="ctr" anchorCtr="1">
                    <a:noAutofit/>
                  </a:bodyPr>
                  <a:lstStyle/>
                  <a:p>
                    <a:pPr>
                      <a:defRPr sz="1000" b="0" i="0" u="none" strike="noStrike" kern="1200" baseline="0">
                        <a:solidFill>
                          <a:schemeClr val="tx1"/>
                        </a:solidFill>
                        <a:latin typeface="+mn-lt"/>
                        <a:ea typeface="+mn-ea"/>
                        <a:cs typeface="+mn-cs"/>
                      </a:defRPr>
                    </a:pPr>
                    <a:r>
                      <a:rPr lang="en-US" b="1">
                        <a:latin typeface="Times New Roman" pitchFamily="18" charset="0"/>
                        <a:cs typeface="Times New Roman" pitchFamily="18" charset="0"/>
                      </a:rPr>
                      <a:t>89%</a:t>
                    </a:r>
                  </a:p>
                </c:rich>
              </c:tx>
              <c:spPr>
                <a:noFill/>
                <a:ln>
                  <a:noFill/>
                </a:ln>
                <a:effectLst/>
              </c:spPr>
              <c:showLegendKey val="0"/>
              <c:showVal val="0"/>
              <c:showCatName val="0"/>
              <c:showSerName val="0"/>
              <c:showPercent val="0"/>
              <c:showBubbleSize val="0"/>
              <c:extLst>
                <c:ext xmlns:c15="http://schemas.microsoft.com/office/drawing/2012/chart" uri="{CE6537A1-D6FC-4f65-9D91-7224C49458BB}">
                  <c15:layout>
                    <c:manualLayout>
                      <c:w val="5.3953102303382447E-2"/>
                      <c:h val="4.2834414392363233E-2"/>
                    </c:manualLayout>
                  </c15:layout>
                </c:ext>
                <c:ext xmlns:c16="http://schemas.microsoft.com/office/drawing/2014/chart" uri="{C3380CC4-5D6E-409C-BE32-E72D297353CC}">
                  <c16:uniqueId val="{0000000A-36DD-410E-8458-445CEF46239D}"/>
                </c:ext>
              </c:extLst>
            </c:dLbl>
            <c:dLbl>
              <c:idx val="4"/>
              <c:layout>
                <c:manualLayout>
                  <c:x val="-1.0958917539333386E-2"/>
                  <c:y val="5.5102499043573692E-2"/>
                </c:manualLayout>
              </c:layout>
              <c:tx>
                <c:rich>
                  <a:bodyPr/>
                  <a:lstStyle/>
                  <a:p>
                    <a:r>
                      <a:rPr lang="en-US" b="1">
                        <a:latin typeface="Times New Roman" pitchFamily="18" charset="0"/>
                        <a:cs typeface="Times New Roman" pitchFamily="18" charset="0"/>
                      </a:rPr>
                      <a:t> 84%</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36DD-410E-8458-445CEF46239D}"/>
                </c:ext>
              </c:extLst>
            </c:dLbl>
            <c:dLbl>
              <c:idx val="5"/>
              <c:layout>
                <c:manualLayout>
                  <c:x val="8.4629645898233827E-3"/>
                  <c:y val="-2.8584389972105835E-2"/>
                </c:manualLayout>
              </c:layout>
              <c:tx>
                <c:rich>
                  <a:bodyPr/>
                  <a:lstStyle/>
                  <a:p>
                    <a:r>
                      <a:rPr lang="en-US" b="1">
                        <a:latin typeface="Times New Roman" pitchFamily="18" charset="0"/>
                        <a:cs typeface="Times New Roman" pitchFamily="18" charset="0"/>
                      </a:rPr>
                      <a:t>67%</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6DD-410E-8458-445CEF46239D}"/>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Лист1!$A$2:$A$5</c:f>
              <c:strCache>
                <c:ptCount val="4"/>
                <c:pt idx="0">
                  <c:v>Досягнуті заплановані цілі підготовки</c:v>
                </c:pt>
                <c:pt idx="1">
                  <c:v>Ефективність інтерактивних лекцій  як форми навчання</c:v>
                </c:pt>
                <c:pt idx="2">
                  <c:v>Ефективність тренінгів як форми навчання</c:v>
                </c:pt>
                <c:pt idx="3">
                  <c:v>Ефективність семінарів як форми навчання</c:v>
                </c:pt>
              </c:strCache>
            </c:strRef>
          </c:cat>
          <c:val>
            <c:numRef>
              <c:f>Лист1!$C$2:$C$5</c:f>
              <c:numCache>
                <c:formatCode>General</c:formatCode>
                <c:ptCount val="4"/>
                <c:pt idx="0">
                  <c:v>92</c:v>
                </c:pt>
                <c:pt idx="1">
                  <c:v>86</c:v>
                </c:pt>
                <c:pt idx="2">
                  <c:v>85</c:v>
                </c:pt>
                <c:pt idx="3">
                  <c:v>89</c:v>
                </c:pt>
              </c:numCache>
            </c:numRef>
          </c:val>
          <c:extLst>
            <c:ext xmlns:c16="http://schemas.microsoft.com/office/drawing/2014/chart" uri="{C3380CC4-5D6E-409C-BE32-E72D297353CC}">
              <c16:uniqueId val="{0000000D-36DD-410E-8458-445CEF46239D}"/>
            </c:ext>
          </c:extLst>
        </c:ser>
        <c:ser>
          <c:idx val="2"/>
          <c:order val="2"/>
          <c:tx>
            <c:strRef>
              <c:f>Лист1!$D$1</c:f>
              <c:strCache>
                <c:ptCount val="1"/>
                <c:pt idx="0">
                  <c:v>2021 рік</c:v>
                </c:pt>
              </c:strCache>
            </c:strRef>
          </c:tx>
          <c:spPr>
            <a:solidFill>
              <a:schemeClr val="accent5">
                <a:tint val="65000"/>
              </a:schemeClr>
            </a:solidFill>
            <a:ln>
              <a:noFill/>
            </a:ln>
            <a:effectLst/>
            <a:sp3d/>
          </c:spPr>
          <c:invertIfNegative val="0"/>
          <c:dLbls>
            <c:dLbl>
              <c:idx val="0"/>
              <c:layout>
                <c:manualLayout>
                  <c:x val="1.2450715916165181E-2"/>
                  <c:y val="-1.4686084934524538E-2"/>
                </c:manualLayout>
              </c:layout>
              <c:tx>
                <c:rich>
                  <a:bodyPr/>
                  <a:lstStyle/>
                  <a:p>
                    <a:r>
                      <a:rPr lang="en-US" sz="1100" b="1"/>
                      <a:t>     </a:t>
                    </a:r>
                    <a:fld id="{DD52CD5F-3468-4BC0-B0C7-7FCD1C7B411B}" type="VALUE">
                      <a:rPr lang="en-US" sz="1100" b="1"/>
                      <a:pPr/>
                      <a:t>[ЗНАЧЕНИЕ]</a:t>
                    </a:fld>
                    <a:r>
                      <a:rPr lang="en-US" sz="1100" b="1"/>
                      <a:t> %</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E-36DD-410E-8458-445CEF46239D}"/>
                </c:ext>
              </c:extLst>
            </c:dLbl>
            <c:dLbl>
              <c:idx val="1"/>
              <c:layout>
                <c:manualLayout>
                  <c:x val="1.4525835235526066E-2"/>
                  <c:y val="-1.5909925345734943E-2"/>
                </c:manualLayout>
              </c:layout>
              <c:tx>
                <c:rich>
                  <a:bodyPr rot="0" spcFirstLastPara="1" vertOverflow="ellipsis" vert="horz" wrap="square" lIns="38100" tIns="19050" rIns="38100" bIns="19050" anchor="ctr" anchorCtr="1">
                    <a:noAutofit/>
                  </a:bodyPr>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sz="1100" b="1">
                        <a:latin typeface="Times New Roman" panose="02020603050405020304" pitchFamily="18" charset="0"/>
                        <a:cs typeface="Times New Roman" panose="02020603050405020304" pitchFamily="18" charset="0"/>
                      </a:rPr>
                      <a:t>    </a:t>
                    </a:r>
                    <a:fld id="{40EFA797-2EEE-4170-A565-D1AADD955422}" type="VALUE">
                      <a:rPr lang="en-US" sz="1100" b="1">
                        <a:latin typeface="Times New Roman" panose="02020603050405020304" pitchFamily="18" charset="0"/>
                        <a:cs typeface="Times New Roman" panose="02020603050405020304" pitchFamily="18" charset="0"/>
                      </a:rPr>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t>[ЗНАЧЕНИЕ]</a:t>
                    </a:fld>
                    <a:r>
                      <a:rPr lang="en-US" sz="1100" b="1">
                        <a:latin typeface="Times New Roman" panose="02020603050405020304" pitchFamily="18" charset="0"/>
                        <a:cs typeface="Times New Roman" panose="02020603050405020304" pitchFamily="18" charset="0"/>
                      </a:rPr>
                      <a:t> %</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8.837933181157917E-2"/>
                      <c:h val="4.4560125737556577E-2"/>
                    </c:manualLayout>
                  </c15:layout>
                  <c15:dlblFieldTable/>
                  <c15:showDataLabelsRange val="0"/>
                </c:ext>
                <c:ext xmlns:c16="http://schemas.microsoft.com/office/drawing/2014/chart" uri="{C3380CC4-5D6E-409C-BE32-E72D297353CC}">
                  <c16:uniqueId val="{0000000F-36DD-410E-8458-445CEF46239D}"/>
                </c:ext>
              </c:extLst>
            </c:dLbl>
            <c:dLbl>
              <c:idx val="2"/>
              <c:layout>
                <c:manualLayout>
                  <c:x val="1.2450715916165181E-2"/>
                  <c:y val="-1.2238404112103802E-2"/>
                </c:manualLayout>
              </c:layout>
              <c:tx>
                <c:rich>
                  <a:bodyPr/>
                  <a:lstStyle/>
                  <a:p>
                    <a:fld id="{D063B2A8-8FF7-47EE-AE40-8EC7C1843AF4}" type="VALUE">
                      <a:rPr lang="en-US"/>
                      <a:pPr/>
                      <a:t>[ЗНАЧЕНИЕ]</a:t>
                    </a:fld>
                    <a:r>
                      <a:rPr lang="en-US"/>
                      <a:t> %</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0-36DD-410E-8458-445CEF46239D}"/>
                </c:ext>
              </c:extLst>
            </c:dLbl>
            <c:dLbl>
              <c:idx val="3"/>
              <c:layout>
                <c:manualLayout>
                  <c:x val="1.2450715916165103E-2"/>
                  <c:y val="-1.4686084934524538E-2"/>
                </c:manualLayout>
              </c:layout>
              <c:tx>
                <c:rich>
                  <a:bodyPr/>
                  <a:lstStyle/>
                  <a:p>
                    <a:fld id="{6BDB2BF9-1C48-433C-A0FD-12D943BC714C}" type="VALUE">
                      <a:rPr lang="en-US" sz="1100" b="1">
                        <a:latin typeface="Times New Roman" panose="02020603050405020304" pitchFamily="18" charset="0"/>
                        <a:cs typeface="Times New Roman" panose="02020603050405020304" pitchFamily="18" charset="0"/>
                      </a:rPr>
                      <a:pPr/>
                      <a:t>[ЗНАЧЕНИЕ]</a:t>
                    </a:fld>
                    <a:r>
                      <a:rPr lang="en-US" sz="1100" b="1">
                        <a:latin typeface="Times New Roman" panose="02020603050405020304" pitchFamily="18" charset="0"/>
                        <a:cs typeface="Times New Roman" panose="02020603050405020304" pitchFamily="18" charset="0"/>
                      </a:rPr>
                      <a:t> %</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1-36DD-410E-8458-445CEF46239D}"/>
                </c:ext>
              </c:extLst>
            </c:dLbl>
            <c:dLbl>
              <c:idx val="4"/>
              <c:layout>
                <c:manualLayout>
                  <c:x val="1.8676073874247769E-2"/>
                  <c:y val="-2.2029127401786811E-2"/>
                </c:manualLayout>
              </c:layout>
              <c:tx>
                <c:rich>
                  <a:bodyPr/>
                  <a:lstStyle/>
                  <a:p>
                    <a:fld id="{27E2237B-96EE-41E7-A334-4C5D64ACCEEF}" type="VALUE">
                      <a:rPr lang="en-US" sz="1100" b="1">
                        <a:latin typeface="Times New Roman" panose="02020603050405020304" pitchFamily="18" charset="0"/>
                        <a:cs typeface="Times New Roman" panose="02020603050405020304" pitchFamily="18" charset="0"/>
                      </a:rPr>
                      <a:pPr/>
                      <a:t>[ЗНАЧЕНИЕ]</a:t>
                    </a:fld>
                    <a:r>
                      <a:rPr lang="en-US" sz="1100" b="1">
                        <a:latin typeface="Times New Roman" panose="02020603050405020304" pitchFamily="18" charset="0"/>
                        <a:cs typeface="Times New Roman" panose="02020603050405020304" pitchFamily="18" charset="0"/>
                      </a:rPr>
                      <a:t> %</a:t>
                    </a:r>
                  </a:p>
                </c:rich>
              </c:tx>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2-36DD-410E-8458-445CEF46239D}"/>
                </c:ext>
              </c:extLst>
            </c:dLbl>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6350" cap="flat" cmpd="sng" algn="ctr">
                      <a:solidFill>
                        <a:schemeClr val="tx1"/>
                      </a:solidFill>
                      <a:prstDash val="solid"/>
                      <a:round/>
                    </a:ln>
                    <a:effectLst/>
                  </c:spPr>
                </c15:leaderLines>
              </c:ext>
            </c:extLst>
          </c:dLbls>
          <c:cat>
            <c:strRef>
              <c:f>Лист1!$A$2:$A$5</c:f>
              <c:strCache>
                <c:ptCount val="4"/>
                <c:pt idx="0">
                  <c:v>Досягнуті заплановані цілі підготовки</c:v>
                </c:pt>
                <c:pt idx="1">
                  <c:v>Ефективність інтерактивних лекцій  як форми навчання</c:v>
                </c:pt>
                <c:pt idx="2">
                  <c:v>Ефективність тренінгів як форми навчання</c:v>
                </c:pt>
                <c:pt idx="3">
                  <c:v>Ефективність семінарів як форми навчання</c:v>
                </c:pt>
              </c:strCache>
            </c:strRef>
          </c:cat>
          <c:val>
            <c:numRef>
              <c:f>Лист1!$D$2:$D$5</c:f>
              <c:numCache>
                <c:formatCode>General</c:formatCode>
                <c:ptCount val="4"/>
                <c:pt idx="0">
                  <c:v>90</c:v>
                </c:pt>
                <c:pt idx="1">
                  <c:v>87</c:v>
                </c:pt>
                <c:pt idx="2">
                  <c:v>86</c:v>
                </c:pt>
                <c:pt idx="3">
                  <c:v>90</c:v>
                </c:pt>
              </c:numCache>
            </c:numRef>
          </c:val>
          <c:extLst>
            <c:ext xmlns:c16="http://schemas.microsoft.com/office/drawing/2014/chart" uri="{C3380CC4-5D6E-409C-BE32-E72D297353CC}">
              <c16:uniqueId val="{00000013-36DD-410E-8458-445CEF46239D}"/>
            </c:ext>
          </c:extLst>
        </c:ser>
        <c:dLbls>
          <c:showLegendKey val="0"/>
          <c:showVal val="0"/>
          <c:showCatName val="0"/>
          <c:showSerName val="0"/>
          <c:showPercent val="0"/>
          <c:showBubbleSize val="0"/>
        </c:dLbls>
        <c:gapWidth val="154"/>
        <c:shape val="box"/>
        <c:axId val="47662208"/>
        <c:axId val="47663744"/>
        <c:axId val="0"/>
      </c:bar3DChart>
      <c:catAx>
        <c:axId val="47662208"/>
        <c:scaling>
          <c:orientation val="minMax"/>
        </c:scaling>
        <c:delete val="0"/>
        <c:axPos val="b"/>
        <c:numFmt formatCode="General" sourceLinked="1"/>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766" b="1" i="0" u="none" strike="noStrike" kern="1200" baseline="0">
                <a:solidFill>
                  <a:schemeClr val="tx1"/>
                </a:solidFill>
                <a:latin typeface="Times New Roman" pitchFamily="18" charset="0"/>
                <a:ea typeface="+mn-ea"/>
                <a:cs typeface="Times New Roman" pitchFamily="18" charset="0"/>
              </a:defRPr>
            </a:pPr>
            <a:endParaRPr lang="uk-UA"/>
          </a:p>
        </c:txPr>
        <c:crossAx val="47663744"/>
        <c:crosses val="autoZero"/>
        <c:auto val="1"/>
        <c:lblAlgn val="ctr"/>
        <c:lblOffset val="100"/>
        <c:noMultiLvlLbl val="0"/>
      </c:catAx>
      <c:valAx>
        <c:axId val="47663744"/>
        <c:scaling>
          <c:orientation val="minMax"/>
          <c:min val="0"/>
        </c:scaling>
        <c:delete val="0"/>
        <c:axPos val="l"/>
        <c:majorGridlines>
          <c:spPr>
            <a:ln w="12700"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1000" b="1" i="0" u="none" strike="noStrike" kern="1200" baseline="0">
                <a:solidFill>
                  <a:sysClr val="windowText" lastClr="000000"/>
                </a:solidFill>
                <a:latin typeface="Times New Roman" pitchFamily="18" charset="0"/>
                <a:ea typeface="+mn-ea"/>
                <a:cs typeface="Times New Roman" pitchFamily="18" charset="0"/>
              </a:defRPr>
            </a:pPr>
            <a:endParaRPr lang="uk-UA"/>
          </a:p>
        </c:txPr>
        <c:crossAx val="47662208"/>
        <c:crosses val="autoZero"/>
        <c:crossBetween val="between"/>
        <c:majorUnit val="10"/>
        <c:minorUnit val="3"/>
      </c:valAx>
      <c:spPr>
        <a:noFill/>
        <a:ln w="25364">
          <a:noFill/>
        </a:ln>
        <a:effectLst/>
      </c:spPr>
    </c:plotArea>
    <c:legend>
      <c:legendPos val="r"/>
      <c:layout>
        <c:manualLayout>
          <c:xMode val="edge"/>
          <c:yMode val="edge"/>
          <c:x val="0.84020477170083452"/>
          <c:y val="0.49328538806295485"/>
          <c:w val="0.14183963412541914"/>
          <c:h val="0.10122027489190227"/>
        </c:manualLayout>
      </c:layout>
      <c:overlay val="0"/>
      <c:spPr>
        <a:noFill/>
        <a:ln>
          <a:noFill/>
        </a:ln>
        <a:effectLst/>
      </c:spPr>
      <c:txPr>
        <a:bodyPr rot="0" spcFirstLastPara="1" vertOverflow="ellipsis" vert="horz" wrap="square" anchor="ctr" anchorCtr="1"/>
        <a:lstStyle/>
        <a:p>
          <a:pPr>
            <a:defRPr sz="1339" b="1" i="0" u="none" strike="noStrike" kern="1200" baseline="0">
              <a:solidFill>
                <a:schemeClr val="tx1"/>
              </a:solidFill>
              <a:latin typeface="Times New Roman" pitchFamily="18" charset="0"/>
              <a:ea typeface="+mn-ea"/>
              <a:cs typeface="Times New Roman" pitchFamily="18" charset="0"/>
            </a:defRPr>
          </a:pPr>
          <a:endParaRPr lang="uk-UA"/>
        </a:p>
      </c:txPr>
    </c:legend>
    <c:plotVisOnly val="1"/>
    <c:dispBlanksAs val="gap"/>
    <c:showDLblsOverMax val="0"/>
  </c:chart>
  <c:spPr>
    <a:solidFill>
      <a:schemeClr val="bg1"/>
    </a:solidFill>
    <a:ln w="6350" cap="flat" cmpd="sng" algn="ctr">
      <a:solidFill>
        <a:schemeClr val="tx1">
          <a:tint val="75000"/>
        </a:schemeClr>
      </a:solidFill>
      <a:prstDash val="solid"/>
      <a:round/>
    </a:ln>
    <a:effectLst/>
  </c:spPr>
  <c:txPr>
    <a:bodyPr/>
    <a:lstStyle/>
    <a:p>
      <a:pPr>
        <a:defRPr/>
      </a:pPr>
      <a:endParaRPr lang="uk-UA"/>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fr-FR" sz="1400"/>
              <a:t>Training of court staff of the National School of Judges </a:t>
            </a:r>
            <a:endParaRPr lang="uk-UA" sz="1400"/>
          </a:p>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r>
              <a:rPr lang="fr-FR" sz="1400"/>
              <a:t>in 2019-2021 </a:t>
            </a:r>
          </a:p>
          <a:p>
            <a:pPr marL="0" marR="0" indent="0" algn="ctr" defTabSz="914400" rtl="0" eaLnBrk="1" fontAlgn="auto" latinLnBrk="0" hangingPunct="1">
              <a:lnSpc>
                <a:spcPct val="100000"/>
              </a:lnSpc>
              <a:spcBef>
                <a:spcPts val="0"/>
              </a:spcBef>
              <a:spcAft>
                <a:spcPts val="0"/>
              </a:spcAft>
              <a:buClrTx/>
              <a:buSzTx/>
              <a:buFontTx/>
              <a:buNone/>
              <a:tabLst/>
              <a:defRPr sz="1800" b="1" i="0" u="none" strike="noStrike" kern="1200" baseline="0">
                <a:solidFill>
                  <a:sysClr val="windowText" lastClr="000000"/>
                </a:solidFill>
                <a:latin typeface="+mn-lt"/>
                <a:ea typeface="+mn-ea"/>
                <a:cs typeface="+mn-cs"/>
              </a:defRPr>
            </a:pPr>
            <a:endParaRPr lang="uk-UA" sz="1300" baseline="0">
              <a:latin typeface="Times New Roman" pitchFamily="18" charset="0"/>
            </a:endParaRPr>
          </a:p>
        </c:rich>
      </c:tx>
      <c:overlay val="0"/>
    </c:title>
    <c:autoTitleDeleted val="0"/>
    <c:view3D>
      <c:rotX val="15"/>
      <c:rotY val="10"/>
      <c:rAngAx val="1"/>
    </c:view3D>
    <c:floor>
      <c:thickness val="0"/>
      <c:spPr>
        <a:gradFill>
          <a:gsLst>
            <a:gs pos="0">
              <a:srgbClr val="000082"/>
            </a:gs>
            <a:gs pos="30000">
              <a:srgbClr val="66008F"/>
            </a:gs>
            <a:gs pos="64999">
              <a:srgbClr val="BA0066"/>
            </a:gs>
            <a:gs pos="89999">
              <a:srgbClr val="FF0000"/>
            </a:gs>
            <a:gs pos="100000">
              <a:srgbClr val="FF8200"/>
            </a:gs>
          </a:gsLst>
          <a:lin ang="5400000" scaled="0"/>
        </a:gradFill>
      </c:spPr>
    </c:floor>
    <c:sideWall>
      <c:thickness val="0"/>
      <c:spPr>
        <a:blipFill>
          <a:blip xmlns:r="http://schemas.openxmlformats.org/officeDocument/2006/relationships" r:embed="rId2"/>
          <a:tile tx="0" ty="0" sx="100000" sy="100000" flip="none" algn="tl"/>
        </a:blipFill>
      </c:spPr>
    </c:sideWall>
    <c:backWall>
      <c:thickness val="0"/>
      <c:spPr>
        <a:blipFill>
          <a:blip xmlns:r="http://schemas.openxmlformats.org/officeDocument/2006/relationships" r:embed="rId2"/>
          <a:tile tx="0" ty="0" sx="100000" sy="100000" flip="none" algn="tl"/>
        </a:blipFill>
      </c:spPr>
    </c:backWall>
    <c:plotArea>
      <c:layout>
        <c:manualLayout>
          <c:layoutTarget val="inner"/>
          <c:xMode val="edge"/>
          <c:yMode val="edge"/>
          <c:x val="6.1147747156605425E-2"/>
          <c:y val="0.16697444069491393"/>
          <c:w val="0.90413003062119024"/>
          <c:h val="0.69413740483890751"/>
        </c:manualLayout>
      </c:layout>
      <c:bar3DChart>
        <c:barDir val="col"/>
        <c:grouping val="stacked"/>
        <c:varyColors val="0"/>
        <c:ser>
          <c:idx val="0"/>
          <c:order val="0"/>
          <c:tx>
            <c:strRef>
              <c:f>Лист1!$B$1</c:f>
              <c:strCache>
                <c:ptCount val="1"/>
                <c:pt idx="0">
                  <c:v>Ряд 1</c:v>
                </c:pt>
              </c:strCache>
            </c:strRef>
          </c:tx>
          <c:invertIfNegative val="0"/>
          <c:dLbls>
            <c:dLbl>
              <c:idx val="0"/>
              <c:layout>
                <c:manualLayout>
                  <c:x val="-2.0314880650076552E-3"/>
                  <c:y val="-0.10271460014673522"/>
                </c:manualLayout>
              </c:layout>
              <c:tx>
                <c:rich>
                  <a:bodyPr/>
                  <a:lstStyle/>
                  <a:p>
                    <a:r>
                      <a:rPr lang="en-US"/>
                      <a:t>9847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784-40E2-9296-2944895C1126}"/>
                </c:ext>
              </c:extLst>
            </c:dLbl>
            <c:spPr>
              <a:noFill/>
              <a:ln>
                <a:noFill/>
              </a:ln>
              <a:effectLst/>
            </c:spPr>
            <c:txPr>
              <a:bodyPr/>
              <a:lstStyle/>
              <a:p>
                <a:pPr>
                  <a:defRPr sz="1400"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 2019 рік</c:v>
                </c:pt>
                <c:pt idx="1">
                  <c:v> 2020 рік</c:v>
                </c:pt>
                <c:pt idx="2">
                  <c:v>2021 рік</c:v>
                </c:pt>
              </c:strCache>
            </c:strRef>
          </c:cat>
          <c:val>
            <c:numRef>
              <c:f>Лист1!$B$2:$B$4</c:f>
              <c:numCache>
                <c:formatCode>General</c:formatCode>
                <c:ptCount val="3"/>
                <c:pt idx="0">
                  <c:v>9847</c:v>
                </c:pt>
              </c:numCache>
            </c:numRef>
          </c:val>
          <c:extLst>
            <c:ext xmlns:c16="http://schemas.microsoft.com/office/drawing/2014/chart" uri="{C3380CC4-5D6E-409C-BE32-E72D297353CC}">
              <c16:uniqueId val="{00000001-F784-40E2-9296-2944895C1126}"/>
            </c:ext>
          </c:extLst>
        </c:ser>
        <c:ser>
          <c:idx val="1"/>
          <c:order val="1"/>
          <c:tx>
            <c:strRef>
              <c:f>Лист1!$C$1</c:f>
              <c:strCache>
                <c:ptCount val="1"/>
                <c:pt idx="0">
                  <c:v>Ряд 2</c:v>
                </c:pt>
              </c:strCache>
            </c:strRef>
          </c:tx>
          <c:invertIfNegative val="0"/>
          <c:dLbls>
            <c:dLbl>
              <c:idx val="0"/>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784-40E2-9296-2944895C1126}"/>
                </c:ext>
              </c:extLst>
            </c:dLbl>
            <c:dLbl>
              <c:idx val="1"/>
              <c:layout>
                <c:manualLayout>
                  <c:x val="-2.0314880650076942E-3"/>
                  <c:y val="-0.15407190022010278"/>
                </c:manualLayout>
              </c:layout>
              <c:tx>
                <c:rich>
                  <a:bodyPr/>
                  <a:lstStyle/>
                  <a:p>
                    <a:r>
                      <a:rPr lang="en-US"/>
                      <a:t>14043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784-40E2-9296-2944895C1126}"/>
                </c:ext>
              </c:extLst>
            </c:dLbl>
            <c:spPr>
              <a:noFill/>
              <a:ln>
                <a:noFill/>
              </a:ln>
              <a:effectLst/>
            </c:spPr>
            <c:txPr>
              <a:bodyPr/>
              <a:lstStyle/>
              <a:p>
                <a:pPr>
                  <a:defRPr sz="1400" b="1">
                    <a:latin typeface="Times New Roman" panose="02020603050405020304" pitchFamily="18" charset="0"/>
                    <a:cs typeface="Times New Roman" panose="02020603050405020304" pitchFamily="18" charset="0"/>
                  </a:defRPr>
                </a:pPr>
                <a:endParaRPr lang="uk-UA"/>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Лист1!$A$2:$A$4</c:f>
              <c:strCache>
                <c:ptCount val="3"/>
                <c:pt idx="0">
                  <c:v> 2019 рік</c:v>
                </c:pt>
                <c:pt idx="1">
                  <c:v> 2020 рік</c:v>
                </c:pt>
                <c:pt idx="2">
                  <c:v>2021 рік</c:v>
                </c:pt>
              </c:strCache>
            </c:strRef>
          </c:cat>
          <c:val>
            <c:numRef>
              <c:f>Лист1!$C$2:$C$4</c:f>
              <c:numCache>
                <c:formatCode>General</c:formatCode>
                <c:ptCount val="3"/>
                <c:pt idx="1">
                  <c:v>14043</c:v>
                </c:pt>
              </c:numCache>
            </c:numRef>
          </c:val>
          <c:extLst>
            <c:ext xmlns:c16="http://schemas.microsoft.com/office/drawing/2014/chart" uri="{C3380CC4-5D6E-409C-BE32-E72D297353CC}">
              <c16:uniqueId val="{00000004-F784-40E2-9296-2944895C1126}"/>
            </c:ext>
          </c:extLst>
        </c:ser>
        <c:ser>
          <c:idx val="2"/>
          <c:order val="2"/>
          <c:tx>
            <c:strRef>
              <c:f>Лист1!$D$1</c:f>
              <c:strCache>
                <c:ptCount val="1"/>
                <c:pt idx="0">
                  <c:v>Ряд 3</c:v>
                </c:pt>
              </c:strCache>
            </c:strRef>
          </c:tx>
          <c:invertIfNegative val="0"/>
          <c:dLbls>
            <c:dLbl>
              <c:idx val="2"/>
              <c:layout>
                <c:manualLayout>
                  <c:x val="0"/>
                  <c:y val="-0.21276595744680882"/>
                </c:manualLayout>
              </c:layout>
              <c:tx>
                <c:rich>
                  <a:bodyPr/>
                  <a:lstStyle/>
                  <a:p>
                    <a:r>
                      <a:rPr lang="en-US"/>
                      <a:t>18536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F784-40E2-9296-2944895C1126}"/>
                </c:ext>
              </c:extLst>
            </c:dLbl>
            <c:spPr>
              <a:noFill/>
              <a:ln>
                <a:noFill/>
              </a:ln>
              <a:effectLst/>
            </c:spPr>
            <c:txPr>
              <a:bodyPr/>
              <a:lstStyle/>
              <a:p>
                <a:pPr>
                  <a:defRPr sz="1400" b="1">
                    <a:latin typeface="Times New Roman" panose="02020603050405020304" pitchFamily="18" charset="0"/>
                    <a:cs typeface="Times New Roman" panose="02020603050405020304" pitchFamily="18" charset="0"/>
                  </a:defRPr>
                </a:pPr>
                <a:endParaRPr lang="uk-UA"/>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Лист1!$A$2:$A$4</c:f>
              <c:strCache>
                <c:ptCount val="3"/>
                <c:pt idx="0">
                  <c:v> 2019 рік</c:v>
                </c:pt>
                <c:pt idx="1">
                  <c:v> 2020 рік</c:v>
                </c:pt>
                <c:pt idx="2">
                  <c:v>2021 рік</c:v>
                </c:pt>
              </c:strCache>
            </c:strRef>
          </c:cat>
          <c:val>
            <c:numRef>
              <c:f>Лист1!$D$2:$D$4</c:f>
              <c:numCache>
                <c:formatCode>General</c:formatCode>
                <c:ptCount val="3"/>
                <c:pt idx="2">
                  <c:v>18536</c:v>
                </c:pt>
              </c:numCache>
            </c:numRef>
          </c:val>
          <c:extLst>
            <c:ext xmlns:c16="http://schemas.microsoft.com/office/drawing/2014/chart" uri="{C3380CC4-5D6E-409C-BE32-E72D297353CC}">
              <c16:uniqueId val="{00000006-F784-40E2-9296-2944895C1126}"/>
            </c:ext>
          </c:extLst>
        </c:ser>
        <c:dLbls>
          <c:showLegendKey val="0"/>
          <c:showVal val="0"/>
          <c:showCatName val="0"/>
          <c:showSerName val="0"/>
          <c:showPercent val="0"/>
          <c:showBubbleSize val="0"/>
        </c:dLbls>
        <c:gapWidth val="55"/>
        <c:gapDepth val="55"/>
        <c:shape val="box"/>
        <c:axId val="47559040"/>
        <c:axId val="47560576"/>
        <c:axId val="0"/>
      </c:bar3DChart>
      <c:catAx>
        <c:axId val="47559040"/>
        <c:scaling>
          <c:orientation val="minMax"/>
        </c:scaling>
        <c:delete val="0"/>
        <c:axPos val="b"/>
        <c:majorGridlines/>
        <c:numFmt formatCode="General" sourceLinked="0"/>
        <c:majorTickMark val="none"/>
        <c:minorTickMark val="none"/>
        <c:tickLblPos val="nextTo"/>
        <c:txPr>
          <a:bodyPr/>
          <a:lstStyle/>
          <a:p>
            <a:pPr>
              <a:defRPr b="1">
                <a:latin typeface="Times New Roman" pitchFamily="18" charset="0"/>
                <a:cs typeface="Times New Roman" pitchFamily="18" charset="0"/>
              </a:defRPr>
            </a:pPr>
            <a:endParaRPr lang="uk-UA"/>
          </a:p>
        </c:txPr>
        <c:crossAx val="47560576"/>
        <c:crosses val="autoZero"/>
        <c:auto val="1"/>
        <c:lblAlgn val="ctr"/>
        <c:lblOffset val="100"/>
        <c:noMultiLvlLbl val="0"/>
      </c:catAx>
      <c:valAx>
        <c:axId val="47560576"/>
        <c:scaling>
          <c:orientation val="minMax"/>
        </c:scaling>
        <c:delete val="1"/>
        <c:axPos val="l"/>
        <c:majorGridlines/>
        <c:minorGridlines/>
        <c:numFmt formatCode="General" sourceLinked="1"/>
        <c:majorTickMark val="none"/>
        <c:minorTickMark val="none"/>
        <c:tickLblPos val="none"/>
        <c:crossAx val="47559040"/>
        <c:crosses val="autoZero"/>
        <c:crossBetween val="between"/>
      </c:valAx>
      <c:spPr>
        <a:blipFill>
          <a:blip xmlns:r="http://schemas.openxmlformats.org/officeDocument/2006/relationships" r:embed="rId3"/>
          <a:tile tx="0" ty="0" sx="100000" sy="100000" flip="none" algn="tl"/>
        </a:blipFill>
        <a:effectLst/>
      </c:spPr>
    </c:plotArea>
    <c:plotVisOnly val="1"/>
    <c:dispBlanksAs val="gap"/>
    <c:showDLblsOverMax val="0"/>
  </c:chart>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a:scene3d>
      <a:camera prst="orthographicFront"/>
      <a:lightRig rig="threePt" dir="t"/>
    </a:scene3d>
    <a:sp3d>
      <a:bevelT w="0" h="0"/>
    </a:sp3d>
  </c:spPr>
  <c:txPr>
    <a:bodyPr/>
    <a:lstStyle/>
    <a:p>
      <a:pPr>
        <a:defRPr>
          <a:solidFill>
            <a:schemeClr val="dk1"/>
          </a:solidFill>
          <a:latin typeface="+mn-lt"/>
          <a:ea typeface="+mn-ea"/>
          <a:cs typeface="+mn-cs"/>
        </a:defRPr>
      </a:pPr>
      <a:endParaRPr lang="uk-UA"/>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0"/>
      <c:rotY val="10"/>
      <c:rAngAx val="1"/>
    </c:view3D>
    <c:floor>
      <c:thickness val="0"/>
      <c:spPr>
        <a:blipFill>
          <a:blip xmlns:r="http://schemas.openxmlformats.org/officeDocument/2006/relationships" r:embed="rId2"/>
          <a:tile tx="0" ty="0" sx="100000" sy="100000" flip="none" algn="tl"/>
        </a:blipFill>
      </c:spPr>
    </c:floor>
    <c:sideWall>
      <c:thickness val="0"/>
      <c:spPr>
        <a:gradFill>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a:solidFill>
            <a:srgbClr val="4F81BD"/>
          </a:solidFill>
        </a:ln>
      </c:spPr>
    </c:sideWall>
    <c:backWall>
      <c:thickness val="0"/>
      <c:spPr>
        <a:gradFill>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c:spPr>
    </c:backWall>
    <c:plotArea>
      <c:layout>
        <c:manualLayout>
          <c:layoutTarget val="inner"/>
          <c:xMode val="edge"/>
          <c:yMode val="edge"/>
          <c:x val="7.1970966772892775E-2"/>
          <c:y val="4.910590045533867E-2"/>
          <c:w val="0.61832193029860816"/>
          <c:h val="0.88744087447531095"/>
        </c:manualLayout>
      </c:layout>
      <c:bar3DChart>
        <c:barDir val="col"/>
        <c:grouping val="clustered"/>
        <c:varyColors val="0"/>
        <c:ser>
          <c:idx val="0"/>
          <c:order val="0"/>
          <c:tx>
            <c:strRef>
              <c:f>Лист1!$B$1</c:f>
              <c:strCache>
                <c:ptCount val="1"/>
                <c:pt idx="0">
                  <c:v>Кошти Державного бюджету</c:v>
                </c:pt>
              </c:strCache>
            </c:strRef>
          </c:tx>
          <c:invertIfNegative val="0"/>
          <c:dLbls>
            <c:dLbl>
              <c:idx val="0"/>
              <c:layout>
                <c:manualLayout>
                  <c:x val="5.9766909054686946E-3"/>
                  <c:y val="4.87725573077548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4C5-4C58-A892-23E871DD52A2}"/>
                </c:ext>
              </c:extLst>
            </c:dLbl>
            <c:dLbl>
              <c:idx val="1"/>
              <c:layout>
                <c:manualLayout>
                  <c:x val="7.9689212072915992E-3"/>
                  <c:y val="5.20240611282718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4C5-4C58-A892-23E871DD52A2}"/>
                </c:ext>
              </c:extLst>
            </c:dLbl>
            <c:dLbl>
              <c:idx val="2"/>
              <c:layout>
                <c:manualLayout>
                  <c:x val="7.9689212072914899E-3"/>
                  <c:y val="4.55210534872377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4C5-4C58-A892-23E871DD52A2}"/>
                </c:ext>
              </c:extLst>
            </c:dLbl>
            <c:spPr>
              <a:noFill/>
              <a:ln>
                <a:noFill/>
              </a:ln>
              <a:effectLst/>
            </c:spPr>
            <c:txPr>
              <a:bodyPr/>
              <a:lstStyle/>
              <a:p>
                <a:pPr>
                  <a:defRPr b="1" i="0" baseline="0">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2019</c:v>
                </c:pt>
                <c:pt idx="1">
                  <c:v>2020</c:v>
                </c:pt>
                <c:pt idx="2">
                  <c:v>2021</c:v>
                </c:pt>
              </c:numCache>
            </c:numRef>
          </c:cat>
          <c:val>
            <c:numRef>
              <c:f>Лист1!$B$2:$B$4</c:f>
              <c:numCache>
                <c:formatCode>General</c:formatCode>
                <c:ptCount val="3"/>
                <c:pt idx="0">
                  <c:v>9329</c:v>
                </c:pt>
                <c:pt idx="1">
                  <c:v>13970</c:v>
                </c:pt>
                <c:pt idx="2">
                  <c:v>18478</c:v>
                </c:pt>
              </c:numCache>
            </c:numRef>
          </c:val>
          <c:extLst>
            <c:ext xmlns:c16="http://schemas.microsoft.com/office/drawing/2014/chart" uri="{C3380CC4-5D6E-409C-BE32-E72D297353CC}">
              <c16:uniqueId val="{00000003-64C5-4C58-A892-23E871DD52A2}"/>
            </c:ext>
          </c:extLst>
        </c:ser>
        <c:ser>
          <c:idx val="1"/>
          <c:order val="1"/>
          <c:tx>
            <c:strRef>
              <c:f>Лист1!$C$1</c:f>
              <c:strCache>
                <c:ptCount val="1"/>
                <c:pt idx="0">
                  <c:v>Спільні кошти з міжнародними організаціями</c:v>
                </c:pt>
              </c:strCache>
            </c:strRef>
          </c:tx>
          <c:invertIfNegative val="0"/>
          <c:dLbls>
            <c:dLbl>
              <c:idx val="0"/>
              <c:layout>
                <c:manualLayout>
                  <c:x val="5.9766909054686946E-3"/>
                  <c:y val="-6.503007641033986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4C5-4C58-A892-23E871DD52A2}"/>
                </c:ext>
              </c:extLst>
            </c:dLbl>
            <c:dLbl>
              <c:idx val="1"/>
              <c:layout>
                <c:manualLayout>
                  <c:x val="5.9766909054686209E-3"/>
                  <c:y val="-3.251503820517112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4C5-4C58-A892-23E871DD52A2}"/>
                </c:ext>
              </c:extLst>
            </c:dLbl>
            <c:dLbl>
              <c:idx val="2"/>
              <c:layout>
                <c:manualLayout>
                  <c:x val="5.9766909054686946E-3"/>
                  <c:y val="-6.503007641033986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4C5-4C58-A892-23E871DD52A2}"/>
                </c:ext>
              </c:extLst>
            </c:dLbl>
            <c:spPr>
              <a:noFill/>
              <a:ln>
                <a:noFill/>
              </a:ln>
              <a:effectLst/>
            </c:spPr>
            <c:txPr>
              <a:bodyPr/>
              <a:lstStyle/>
              <a:p>
                <a:pPr>
                  <a:defRPr b="1" i="0" baseline="0">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2019</c:v>
                </c:pt>
                <c:pt idx="1">
                  <c:v>2020</c:v>
                </c:pt>
                <c:pt idx="2">
                  <c:v>2021</c:v>
                </c:pt>
              </c:numCache>
            </c:numRef>
          </c:cat>
          <c:val>
            <c:numRef>
              <c:f>Лист1!$C$2:$C$4</c:f>
              <c:numCache>
                <c:formatCode>General</c:formatCode>
                <c:ptCount val="3"/>
                <c:pt idx="0">
                  <c:v>518</c:v>
                </c:pt>
                <c:pt idx="1">
                  <c:v>73</c:v>
                </c:pt>
                <c:pt idx="2">
                  <c:v>58</c:v>
                </c:pt>
              </c:numCache>
            </c:numRef>
          </c:val>
          <c:extLst>
            <c:ext xmlns:c16="http://schemas.microsoft.com/office/drawing/2014/chart" uri="{C3380CC4-5D6E-409C-BE32-E72D297353CC}">
              <c16:uniqueId val="{00000007-64C5-4C58-A892-23E871DD52A2}"/>
            </c:ext>
          </c:extLst>
        </c:ser>
        <c:dLbls>
          <c:showLegendKey val="0"/>
          <c:showVal val="0"/>
          <c:showCatName val="0"/>
          <c:showSerName val="0"/>
          <c:showPercent val="0"/>
          <c:showBubbleSize val="0"/>
        </c:dLbls>
        <c:gapWidth val="62"/>
        <c:gapDepth val="38"/>
        <c:shape val="cylinder"/>
        <c:axId val="47552000"/>
        <c:axId val="47553536"/>
        <c:axId val="0"/>
      </c:bar3DChart>
      <c:catAx>
        <c:axId val="47552000"/>
        <c:scaling>
          <c:orientation val="minMax"/>
        </c:scaling>
        <c:delete val="0"/>
        <c:axPos val="b"/>
        <c:majorGridlines/>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uk-UA"/>
          </a:p>
        </c:txPr>
        <c:crossAx val="47553536"/>
        <c:crosses val="autoZero"/>
        <c:auto val="1"/>
        <c:lblAlgn val="ctr"/>
        <c:lblOffset val="100"/>
        <c:noMultiLvlLbl val="0"/>
      </c:catAx>
      <c:valAx>
        <c:axId val="47553536"/>
        <c:scaling>
          <c:orientation val="minMax"/>
        </c:scaling>
        <c:delete val="0"/>
        <c:axPos val="l"/>
        <c:majorGridlines>
          <c:spPr>
            <a:ln>
              <a:noFill/>
            </a:ln>
          </c:spPr>
        </c:majorGridlines>
        <c:numFmt formatCode="General" sourceLinked="1"/>
        <c:majorTickMark val="none"/>
        <c:minorTickMark val="in"/>
        <c:tickLblPos val="nextTo"/>
        <c:crossAx val="47552000"/>
        <c:crosses val="autoZero"/>
        <c:crossBetween val="between"/>
      </c:valAx>
    </c:plotArea>
    <c:legend>
      <c:legendPos val="r"/>
      <c:overlay val="0"/>
      <c:txPr>
        <a:bodyPr/>
        <a:lstStyle/>
        <a:p>
          <a:pPr>
            <a:defRPr>
              <a:latin typeface="Times New Roman" panose="02020603050405020304" pitchFamily="18" charset="0"/>
              <a:cs typeface="Times New Roman" panose="02020603050405020304" pitchFamily="18" charset="0"/>
            </a:defRPr>
          </a:pPr>
          <a:endParaRPr lang="uk-UA"/>
        </a:p>
      </c:txPr>
    </c:legend>
    <c:plotVisOnly val="1"/>
    <c:dispBlanksAs val="gap"/>
    <c:showDLblsOverMax val="0"/>
  </c:chart>
  <c:spPr>
    <a:gradFill flip="none" rotWithShape="1">
      <a:gsLst>
        <a:gs pos="0">
          <a:schemeClr val="accent6">
            <a:lumMod val="20000"/>
            <a:lumOff val="80000"/>
          </a:schemeClr>
        </a:gs>
        <a:gs pos="50000">
          <a:srgbClr val="4F81BD">
            <a:tint val="44500"/>
            <a:satMod val="160000"/>
          </a:srgbClr>
        </a:gs>
        <a:gs pos="100000">
          <a:srgbClr val="4F81BD">
            <a:tint val="23500"/>
            <a:satMod val="160000"/>
          </a:srgbClr>
        </a:gs>
      </a:gsLst>
      <a:lin ang="16200000" scaled="1"/>
      <a:tileRect/>
    </a:gradFill>
    <a:ln>
      <a:solidFill>
        <a:srgbClr val="FF0000">
          <a:alpha val="85000"/>
        </a:srgbClr>
      </a:solidFill>
    </a:ln>
  </c:sp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0"/>
      <c:rotY val="0"/>
      <c:depthPercent val="20"/>
      <c:rAngAx val="1"/>
    </c:view3D>
    <c:floor>
      <c:thickness val="0"/>
      <c:spPr>
        <a:gradFill>
          <a:gsLst>
            <a:gs pos="0">
              <a:srgbClr val="FFEFD1"/>
            </a:gs>
            <a:gs pos="64999">
              <a:srgbClr val="F0EBD5"/>
            </a:gs>
            <a:gs pos="100000">
              <a:srgbClr val="D1C39F"/>
            </a:gs>
          </a:gsLst>
          <a:lin ang="5400000" scaled="0"/>
        </a:gradFill>
        <a:ln>
          <a:solidFill>
            <a:schemeClr val="tx1"/>
          </a:solidFill>
        </a:ln>
        <a:effectLst>
          <a:outerShdw blurRad="50800" dist="50800" dir="5400000" algn="ctr" rotWithShape="0">
            <a:srgbClr val="FF0000"/>
          </a:outerShdw>
        </a:effectLst>
      </c:spPr>
    </c:floor>
    <c:sideWall>
      <c:thickness val="0"/>
      <c:spPr>
        <a:blipFill dpi="0" rotWithShape="1">
          <a:blip xmlns:r="http://schemas.openxmlformats.org/officeDocument/2006/relationships" r:embed="rId2">
            <a:alphaModFix amt="74000"/>
          </a:blip>
          <a:srcRect/>
          <a:tile tx="0" ty="0" sx="100000" sy="100000" flip="xy" algn="tr"/>
        </a:blipFill>
        <a:ln w="12700" cmpd="sng"/>
        <a:scene3d>
          <a:camera prst="orthographicFront"/>
          <a:lightRig rig="threePt" dir="t"/>
        </a:scene3d>
        <a:sp3d>
          <a:bevelT w="114300"/>
        </a:sp3d>
      </c:spPr>
    </c:sideWall>
    <c:backWall>
      <c:thickness val="0"/>
      <c:spPr>
        <a:blipFill dpi="0" rotWithShape="1">
          <a:blip xmlns:r="http://schemas.openxmlformats.org/officeDocument/2006/relationships" r:embed="rId2">
            <a:alphaModFix amt="74000"/>
          </a:blip>
          <a:srcRect/>
          <a:tile tx="0" ty="0" sx="100000" sy="100000" flip="xy" algn="tr"/>
        </a:blipFill>
        <a:ln w="12700" cmpd="sng">
          <a:noFill/>
        </a:ln>
        <a:scene3d>
          <a:camera prst="orthographicFront"/>
          <a:lightRig rig="threePt" dir="t"/>
        </a:scene3d>
        <a:sp3d>
          <a:bevelT w="114300"/>
        </a:sp3d>
      </c:spPr>
    </c:backWall>
    <c:plotArea>
      <c:layout>
        <c:manualLayout>
          <c:layoutTarget val="inner"/>
          <c:xMode val="edge"/>
          <c:yMode val="edge"/>
          <c:x val="2.1916716477386002E-2"/>
          <c:y val="2.965416582542588E-2"/>
          <c:w val="0.61108716013008835"/>
          <c:h val="0.88359138400969106"/>
        </c:manualLayout>
      </c:layout>
      <c:bar3DChart>
        <c:barDir val="col"/>
        <c:grouping val="standard"/>
        <c:varyColors val="0"/>
        <c:ser>
          <c:idx val="0"/>
          <c:order val="0"/>
          <c:tx>
            <c:strRef>
              <c:f>Лист1!$B$1</c:f>
              <c:strCache>
                <c:ptCount val="1"/>
                <c:pt idx="0">
                  <c:v>1. Працівники апарату Верховного Суду </c:v>
                </c:pt>
              </c:strCache>
            </c:strRef>
          </c:tx>
          <c:invertIfNegative val="0"/>
          <c:dLbls>
            <c:dLbl>
              <c:idx val="0"/>
              <c:layout>
                <c:manualLayout>
                  <c:x val="-1.9924287706714521E-3"/>
                  <c:y val="5.859799981514741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179-4AEE-96BB-FC47A3FD2B43}"/>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0"/>
            <c:showCatName val="0"/>
            <c:showSerName val="0"/>
            <c:showPercent val="0"/>
            <c:showBubbleSize val="0"/>
            <c:extLst>
              <c:ext xmlns:c15="http://schemas.microsoft.com/office/drawing/2012/chart" uri="{CE6537A1-D6FC-4f65-9D91-7224C49458BB}">
                <c15:showLeaderLines val="0"/>
              </c:ext>
            </c:extLst>
          </c:dLbls>
          <c:cat>
            <c:numRef>
              <c:f>Лист1!$A$2:$A$9</c:f>
              <c:numCache>
                <c:formatCode>General</c:formatCode>
                <c:ptCount val="8"/>
                <c:pt idx="0">
                  <c:v>1</c:v>
                </c:pt>
                <c:pt idx="1">
                  <c:v>2</c:v>
                </c:pt>
                <c:pt idx="2">
                  <c:v>3</c:v>
                </c:pt>
                <c:pt idx="3">
                  <c:v>4</c:v>
                </c:pt>
                <c:pt idx="4">
                  <c:v>5</c:v>
                </c:pt>
                <c:pt idx="5">
                  <c:v>6</c:v>
                </c:pt>
                <c:pt idx="6">
                  <c:v>7</c:v>
                </c:pt>
                <c:pt idx="7">
                  <c:v>8</c:v>
                </c:pt>
              </c:numCache>
            </c:numRef>
          </c:cat>
          <c:val>
            <c:numRef>
              <c:f>Лист1!$B$2:$B$9</c:f>
              <c:numCache>
                <c:formatCode>General</c:formatCode>
                <c:ptCount val="8"/>
                <c:pt idx="0">
                  <c:v>1493</c:v>
                </c:pt>
              </c:numCache>
            </c:numRef>
          </c:val>
          <c:extLst>
            <c:ext xmlns:c16="http://schemas.microsoft.com/office/drawing/2014/chart" uri="{C3380CC4-5D6E-409C-BE32-E72D297353CC}">
              <c16:uniqueId val="{00000001-9179-4AEE-96BB-FC47A3FD2B43}"/>
            </c:ext>
          </c:extLst>
        </c:ser>
        <c:ser>
          <c:idx val="1"/>
          <c:order val="1"/>
          <c:tx>
            <c:strRef>
              <c:f>Лист1!$C$1</c:f>
              <c:strCache>
                <c:ptCount val="1"/>
                <c:pt idx="0">
                  <c:v> 2. Працівники апарату Вищого антикорупційного суду </c:v>
                </c:pt>
              </c:strCache>
            </c:strRef>
          </c:tx>
          <c:invertIfNegative val="0"/>
          <c:dLbls>
            <c:dLbl>
              <c:idx val="1"/>
              <c:layout>
                <c:manualLayout>
                  <c:x val="-1.3475989648381959E-3"/>
                  <c:y val="-2.3955900968827126E-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179-4AEE-96BB-FC47A3FD2B43}"/>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Лист1!$A$2:$A$9</c:f>
              <c:numCache>
                <c:formatCode>General</c:formatCode>
                <c:ptCount val="8"/>
                <c:pt idx="0">
                  <c:v>1</c:v>
                </c:pt>
                <c:pt idx="1">
                  <c:v>2</c:v>
                </c:pt>
                <c:pt idx="2">
                  <c:v>3</c:v>
                </c:pt>
                <c:pt idx="3">
                  <c:v>4</c:v>
                </c:pt>
                <c:pt idx="4">
                  <c:v>5</c:v>
                </c:pt>
                <c:pt idx="5">
                  <c:v>6</c:v>
                </c:pt>
                <c:pt idx="6">
                  <c:v>7</c:v>
                </c:pt>
                <c:pt idx="7">
                  <c:v>8</c:v>
                </c:pt>
              </c:numCache>
            </c:numRef>
          </c:cat>
          <c:val>
            <c:numRef>
              <c:f>Лист1!$C$2:$C$9</c:f>
              <c:numCache>
                <c:formatCode>General</c:formatCode>
                <c:ptCount val="8"/>
                <c:pt idx="1">
                  <c:v>668</c:v>
                </c:pt>
              </c:numCache>
            </c:numRef>
          </c:val>
          <c:extLst>
            <c:ext xmlns:c16="http://schemas.microsoft.com/office/drawing/2014/chart" uri="{C3380CC4-5D6E-409C-BE32-E72D297353CC}">
              <c16:uniqueId val="{00000003-9179-4AEE-96BB-FC47A3FD2B43}"/>
            </c:ext>
          </c:extLst>
        </c:ser>
        <c:ser>
          <c:idx val="2"/>
          <c:order val="2"/>
          <c:tx>
            <c:strRef>
              <c:f>Лист1!$D$1</c:f>
              <c:strCache>
                <c:ptCount val="1"/>
                <c:pt idx="0">
                  <c:v> 3. Працівники апаратів місцевих загальних судів</c:v>
                </c:pt>
              </c:strCache>
            </c:strRef>
          </c:tx>
          <c:invertIfNegative val="0"/>
          <c:dLbls>
            <c:dLbl>
              <c:idx val="2"/>
              <c:layout>
                <c:manualLayout>
                  <c:x val="-2.3148257095478141E-3"/>
                  <c:y val="5.650004398580401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179-4AEE-96BB-FC47A3FD2B43}"/>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Лист1!$A$2:$A$9</c:f>
              <c:numCache>
                <c:formatCode>General</c:formatCode>
                <c:ptCount val="8"/>
                <c:pt idx="0">
                  <c:v>1</c:v>
                </c:pt>
                <c:pt idx="1">
                  <c:v>2</c:v>
                </c:pt>
                <c:pt idx="2">
                  <c:v>3</c:v>
                </c:pt>
                <c:pt idx="3">
                  <c:v>4</c:v>
                </c:pt>
                <c:pt idx="4">
                  <c:v>5</c:v>
                </c:pt>
                <c:pt idx="5">
                  <c:v>6</c:v>
                </c:pt>
                <c:pt idx="6">
                  <c:v>7</c:v>
                </c:pt>
                <c:pt idx="7">
                  <c:v>8</c:v>
                </c:pt>
              </c:numCache>
            </c:numRef>
          </c:cat>
          <c:val>
            <c:numRef>
              <c:f>Лист1!$D$2:$D$9</c:f>
              <c:numCache>
                <c:formatCode>General</c:formatCode>
                <c:ptCount val="8"/>
                <c:pt idx="2">
                  <c:v>10350</c:v>
                </c:pt>
              </c:numCache>
            </c:numRef>
          </c:val>
          <c:extLst>
            <c:ext xmlns:c16="http://schemas.microsoft.com/office/drawing/2014/chart" uri="{C3380CC4-5D6E-409C-BE32-E72D297353CC}">
              <c16:uniqueId val="{00000005-9179-4AEE-96BB-FC47A3FD2B43}"/>
            </c:ext>
          </c:extLst>
        </c:ser>
        <c:ser>
          <c:idx val="3"/>
          <c:order val="3"/>
          <c:tx>
            <c:strRef>
              <c:f>Лист1!$E$1</c:f>
              <c:strCache>
                <c:ptCount val="1"/>
                <c:pt idx="0">
                  <c:v>4. Працівники апаратів апеляційних загальних судів</c:v>
                </c:pt>
              </c:strCache>
            </c:strRef>
          </c:tx>
          <c:invertIfNegative val="0"/>
          <c:dLbls>
            <c:dLbl>
              <c:idx val="3"/>
              <c:layout>
                <c:manualLayout>
                  <c:x val="0"/>
                  <c:y val="1.07204758230323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179-4AEE-96BB-FC47A3FD2B43}"/>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Лист1!$A$2:$A$9</c:f>
              <c:numCache>
                <c:formatCode>General</c:formatCode>
                <c:ptCount val="8"/>
                <c:pt idx="0">
                  <c:v>1</c:v>
                </c:pt>
                <c:pt idx="1">
                  <c:v>2</c:v>
                </c:pt>
                <c:pt idx="2">
                  <c:v>3</c:v>
                </c:pt>
                <c:pt idx="3">
                  <c:v>4</c:v>
                </c:pt>
                <c:pt idx="4">
                  <c:v>5</c:v>
                </c:pt>
                <c:pt idx="5">
                  <c:v>6</c:v>
                </c:pt>
                <c:pt idx="6">
                  <c:v>7</c:v>
                </c:pt>
                <c:pt idx="7">
                  <c:v>8</c:v>
                </c:pt>
              </c:numCache>
            </c:numRef>
          </c:cat>
          <c:val>
            <c:numRef>
              <c:f>Лист1!$E$2:$E$9</c:f>
              <c:numCache>
                <c:formatCode>General</c:formatCode>
                <c:ptCount val="8"/>
                <c:pt idx="3">
                  <c:v>1699</c:v>
                </c:pt>
              </c:numCache>
            </c:numRef>
          </c:val>
          <c:extLst>
            <c:ext xmlns:c16="http://schemas.microsoft.com/office/drawing/2014/chart" uri="{C3380CC4-5D6E-409C-BE32-E72D297353CC}">
              <c16:uniqueId val="{00000007-9179-4AEE-96BB-FC47A3FD2B43}"/>
            </c:ext>
          </c:extLst>
        </c:ser>
        <c:ser>
          <c:idx val="4"/>
          <c:order val="4"/>
          <c:tx>
            <c:strRef>
              <c:f>Лист1!$F$1</c:f>
              <c:strCache>
                <c:ptCount val="1"/>
                <c:pt idx="0">
                  <c:v> 5. Працівники апаратів окружних адміністративних судів</c:v>
                </c:pt>
              </c:strCache>
            </c:strRef>
          </c:tx>
          <c:invertIfNegative val="0"/>
          <c:dLbls>
            <c:dLbl>
              <c:idx val="4"/>
              <c:layout>
                <c:manualLayout>
                  <c:x val="0"/>
                  <c:y val="1.07097587094409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179-4AEE-96BB-FC47A3FD2B43}"/>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Лист1!$A$2:$A$9</c:f>
              <c:numCache>
                <c:formatCode>General</c:formatCode>
                <c:ptCount val="8"/>
                <c:pt idx="0">
                  <c:v>1</c:v>
                </c:pt>
                <c:pt idx="1">
                  <c:v>2</c:v>
                </c:pt>
                <c:pt idx="2">
                  <c:v>3</c:v>
                </c:pt>
                <c:pt idx="3">
                  <c:v>4</c:v>
                </c:pt>
                <c:pt idx="4">
                  <c:v>5</c:v>
                </c:pt>
                <c:pt idx="5">
                  <c:v>6</c:v>
                </c:pt>
                <c:pt idx="6">
                  <c:v>7</c:v>
                </c:pt>
                <c:pt idx="7">
                  <c:v>8</c:v>
                </c:pt>
              </c:numCache>
            </c:numRef>
          </c:cat>
          <c:val>
            <c:numRef>
              <c:f>Лист1!$F$2:$F$9</c:f>
              <c:numCache>
                <c:formatCode>General</c:formatCode>
                <c:ptCount val="8"/>
                <c:pt idx="4">
                  <c:v>1648</c:v>
                </c:pt>
              </c:numCache>
            </c:numRef>
          </c:val>
          <c:extLst>
            <c:ext xmlns:c16="http://schemas.microsoft.com/office/drawing/2014/chart" uri="{C3380CC4-5D6E-409C-BE32-E72D297353CC}">
              <c16:uniqueId val="{00000009-9179-4AEE-96BB-FC47A3FD2B43}"/>
            </c:ext>
          </c:extLst>
        </c:ser>
        <c:ser>
          <c:idx val="5"/>
          <c:order val="5"/>
          <c:tx>
            <c:strRef>
              <c:f>Лист1!$G$1</c:f>
              <c:strCache>
                <c:ptCount val="1"/>
                <c:pt idx="0">
                  <c:v>6. Працівники апаратів апеляційних адміністративних судів</c:v>
                </c:pt>
              </c:strCache>
            </c:strRef>
          </c:tx>
          <c:invertIfNegative val="0"/>
          <c:dLbls>
            <c:dLbl>
              <c:idx val="5"/>
              <c:layout>
                <c:manualLayout>
                  <c:x val="0"/>
                  <c:y val="8.038885890898952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179-4AEE-96BB-FC47A3FD2B43}"/>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Лист1!$A$2:$A$9</c:f>
              <c:numCache>
                <c:formatCode>General</c:formatCode>
                <c:ptCount val="8"/>
                <c:pt idx="0">
                  <c:v>1</c:v>
                </c:pt>
                <c:pt idx="1">
                  <c:v>2</c:v>
                </c:pt>
                <c:pt idx="2">
                  <c:v>3</c:v>
                </c:pt>
                <c:pt idx="3">
                  <c:v>4</c:v>
                </c:pt>
                <c:pt idx="4">
                  <c:v>5</c:v>
                </c:pt>
                <c:pt idx="5">
                  <c:v>6</c:v>
                </c:pt>
                <c:pt idx="6">
                  <c:v>7</c:v>
                </c:pt>
                <c:pt idx="7">
                  <c:v>8</c:v>
                </c:pt>
              </c:numCache>
            </c:numRef>
          </c:cat>
          <c:val>
            <c:numRef>
              <c:f>Лист1!$G$2:$G$9</c:f>
              <c:numCache>
                <c:formatCode>General</c:formatCode>
                <c:ptCount val="8"/>
                <c:pt idx="5">
                  <c:v>814</c:v>
                </c:pt>
              </c:numCache>
            </c:numRef>
          </c:val>
          <c:extLst>
            <c:ext xmlns:c16="http://schemas.microsoft.com/office/drawing/2014/chart" uri="{C3380CC4-5D6E-409C-BE32-E72D297353CC}">
              <c16:uniqueId val="{0000000B-9179-4AEE-96BB-FC47A3FD2B43}"/>
            </c:ext>
          </c:extLst>
        </c:ser>
        <c:ser>
          <c:idx val="6"/>
          <c:order val="6"/>
          <c:tx>
            <c:strRef>
              <c:f>Лист1!$H$1</c:f>
              <c:strCache>
                <c:ptCount val="1"/>
                <c:pt idx="0">
                  <c:v>7. Працівники апаратів місцевих господарських  судів</c:v>
                </c:pt>
              </c:strCache>
            </c:strRef>
          </c:tx>
          <c:invertIfNegative val="0"/>
          <c:dLbls>
            <c:dLbl>
              <c:idx val="6"/>
              <c:layout>
                <c:manualLayout>
                  <c:x val="-3.2266454087675052E-4"/>
                  <c:y val="2.729291594588825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9179-4AEE-96BB-FC47A3FD2B43}"/>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Лист1!$A$2:$A$9</c:f>
              <c:numCache>
                <c:formatCode>General</c:formatCode>
                <c:ptCount val="8"/>
                <c:pt idx="0">
                  <c:v>1</c:v>
                </c:pt>
                <c:pt idx="1">
                  <c:v>2</c:v>
                </c:pt>
                <c:pt idx="2">
                  <c:v>3</c:v>
                </c:pt>
                <c:pt idx="3">
                  <c:v>4</c:v>
                </c:pt>
                <c:pt idx="4">
                  <c:v>5</c:v>
                </c:pt>
                <c:pt idx="5">
                  <c:v>6</c:v>
                </c:pt>
                <c:pt idx="6">
                  <c:v>7</c:v>
                </c:pt>
                <c:pt idx="7">
                  <c:v>8</c:v>
                </c:pt>
              </c:numCache>
            </c:numRef>
          </c:cat>
          <c:val>
            <c:numRef>
              <c:f>Лист1!$H$2:$H$9</c:f>
              <c:numCache>
                <c:formatCode>General</c:formatCode>
                <c:ptCount val="8"/>
                <c:pt idx="6">
                  <c:v>1383</c:v>
                </c:pt>
              </c:numCache>
            </c:numRef>
          </c:val>
          <c:extLst>
            <c:ext xmlns:c16="http://schemas.microsoft.com/office/drawing/2014/chart" uri="{C3380CC4-5D6E-409C-BE32-E72D297353CC}">
              <c16:uniqueId val="{0000000D-9179-4AEE-96BB-FC47A3FD2B43}"/>
            </c:ext>
          </c:extLst>
        </c:ser>
        <c:ser>
          <c:idx val="7"/>
          <c:order val="7"/>
          <c:tx>
            <c:strRef>
              <c:f>Лист1!$I$1</c:f>
              <c:strCache>
                <c:ptCount val="1"/>
                <c:pt idx="0">
                  <c:v>8.Працівники апаратів апеляційних господарських судів </c:v>
                </c:pt>
              </c:strCache>
            </c:strRef>
          </c:tx>
          <c:invertIfNegative val="0"/>
          <c:dLbls>
            <c:dLbl>
              <c:idx val="7"/>
              <c:layout>
                <c:manualLayout>
                  <c:x val="1.9921437380334161E-3"/>
                  <c:y val="2.668771423720208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9179-4AEE-96BB-FC47A3FD2B43}"/>
                </c:ext>
              </c:extLst>
            </c:dLbl>
            <c:spPr>
              <a:noFill/>
              <a:ln>
                <a:noFill/>
              </a:ln>
              <a:effectLst/>
            </c:spPr>
            <c:txPr>
              <a:bodyPr/>
              <a:lstStyle/>
              <a:p>
                <a:pPr>
                  <a:defRPr b="1" i="0" baseline="0">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Лист1!$A$2:$A$9</c:f>
              <c:numCache>
                <c:formatCode>General</c:formatCode>
                <c:ptCount val="8"/>
                <c:pt idx="0">
                  <c:v>1</c:v>
                </c:pt>
                <c:pt idx="1">
                  <c:v>2</c:v>
                </c:pt>
                <c:pt idx="2">
                  <c:v>3</c:v>
                </c:pt>
                <c:pt idx="3">
                  <c:v>4</c:v>
                </c:pt>
                <c:pt idx="4">
                  <c:v>5</c:v>
                </c:pt>
                <c:pt idx="5">
                  <c:v>6</c:v>
                </c:pt>
                <c:pt idx="6">
                  <c:v>7</c:v>
                </c:pt>
                <c:pt idx="7">
                  <c:v>8</c:v>
                </c:pt>
              </c:numCache>
            </c:numRef>
          </c:cat>
          <c:val>
            <c:numRef>
              <c:f>Лист1!$I$2:$I$9</c:f>
              <c:numCache>
                <c:formatCode>General</c:formatCode>
                <c:ptCount val="8"/>
                <c:pt idx="7">
                  <c:v>481</c:v>
                </c:pt>
              </c:numCache>
            </c:numRef>
          </c:val>
          <c:extLst>
            <c:ext xmlns:c16="http://schemas.microsoft.com/office/drawing/2014/chart" uri="{C3380CC4-5D6E-409C-BE32-E72D297353CC}">
              <c16:uniqueId val="{0000000F-9179-4AEE-96BB-FC47A3FD2B43}"/>
            </c:ext>
          </c:extLst>
        </c:ser>
        <c:dLbls>
          <c:showLegendKey val="0"/>
          <c:showVal val="1"/>
          <c:showCatName val="0"/>
          <c:showSerName val="0"/>
          <c:showPercent val="0"/>
          <c:showBubbleSize val="0"/>
        </c:dLbls>
        <c:gapWidth val="32"/>
        <c:gapDepth val="100"/>
        <c:shape val="cylinder"/>
        <c:axId val="48138112"/>
        <c:axId val="48139648"/>
        <c:axId val="48112064"/>
      </c:bar3DChart>
      <c:dateAx>
        <c:axId val="48138112"/>
        <c:scaling>
          <c:orientation val="minMax"/>
        </c:scaling>
        <c:delete val="0"/>
        <c:axPos val="b"/>
        <c:majorGridlines>
          <c:spPr>
            <a:ln w="12700">
              <a:solidFill>
                <a:srgbClr val="FF0000"/>
              </a:solidFill>
            </a:ln>
          </c:spPr>
        </c:majorGridlines>
        <c:minorGridlines>
          <c:spPr>
            <a:ln w="12700"/>
          </c:spPr>
        </c:minorGridlines>
        <c:numFmt formatCode="General" sourceLinked="1"/>
        <c:majorTickMark val="out"/>
        <c:minorTickMark val="none"/>
        <c:tickLblPos val="nextTo"/>
        <c:crossAx val="48139648"/>
        <c:crosses val="autoZero"/>
        <c:auto val="0"/>
        <c:lblOffset val="100"/>
        <c:baseTimeUnit val="days"/>
      </c:dateAx>
      <c:valAx>
        <c:axId val="48139648"/>
        <c:scaling>
          <c:orientation val="minMax"/>
        </c:scaling>
        <c:delete val="0"/>
        <c:axPos val="r"/>
        <c:majorGridlines>
          <c:spPr>
            <a:ln>
              <a:solidFill>
                <a:srgbClr val="FF0000"/>
              </a:solidFill>
            </a:ln>
          </c:spPr>
        </c:majorGridlines>
        <c:numFmt formatCode="General" sourceLinked="1"/>
        <c:majorTickMark val="out"/>
        <c:minorTickMark val="in"/>
        <c:tickLblPos val="low"/>
        <c:crossAx val="48138112"/>
        <c:crosses val="max"/>
        <c:crossBetween val="between"/>
      </c:valAx>
      <c:serAx>
        <c:axId val="48112064"/>
        <c:scaling>
          <c:orientation val="minMax"/>
        </c:scaling>
        <c:delete val="1"/>
        <c:axPos val="b"/>
        <c:majorTickMark val="out"/>
        <c:minorTickMark val="none"/>
        <c:tickLblPos val="none"/>
        <c:crossAx val="48139648"/>
        <c:crosses val="autoZero"/>
      </c:serAx>
      <c:spPr>
        <a:ln>
          <a:solidFill>
            <a:srgbClr val="FF0000"/>
          </a:solidFill>
        </a:ln>
      </c:spPr>
    </c:plotArea>
    <c:legend>
      <c:legendPos val="r"/>
      <c:layout>
        <c:manualLayout>
          <c:xMode val="edge"/>
          <c:yMode val="edge"/>
          <c:x val="0.70968414513039424"/>
          <c:y val="1.7459115687462185E-2"/>
          <c:w val="0.29031585486960704"/>
          <c:h val="0.96725469412477472"/>
        </c:manualLayout>
      </c:layout>
      <c:overlay val="0"/>
      <c:txPr>
        <a:bodyPr/>
        <a:lstStyle/>
        <a:p>
          <a:pPr>
            <a:defRPr b="1" i="0" kern="700" baseline="0">
              <a:latin typeface="Times New Roman" pitchFamily="18" charset="0"/>
            </a:defRPr>
          </a:pPr>
          <a:endParaRPr lang="uk-UA"/>
        </a:p>
      </c:txPr>
    </c:legend>
    <c:plotVisOnly val="1"/>
    <c:dispBlanksAs val="gap"/>
    <c:showDLblsOverMax val="0"/>
  </c:chart>
  <c:spPr>
    <a:gradFill>
      <a:gsLst>
        <a:gs pos="0">
          <a:schemeClr val="accent5">
            <a:lumMod val="20000"/>
            <a:lumOff val="80000"/>
          </a:schemeClr>
        </a:gs>
        <a:gs pos="64999">
          <a:srgbClr val="F0EBD5"/>
        </a:gs>
        <a:gs pos="100000">
          <a:srgbClr val="D1C39F"/>
        </a:gs>
      </a:gsLst>
      <a:lin ang="5400000" scaled="0"/>
    </a:gradFill>
  </c:sp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latin typeface="Times New Roman" panose="02020603050405020304" pitchFamily="18" charset="0"/>
                <a:cs typeface="Times New Roman" panose="02020603050405020304" pitchFamily="18" charset="0"/>
              </a:defRPr>
            </a:pPr>
            <a:r>
              <a:rPr lang="fr-FR" sz="1100" b="1"/>
              <a:t>Participation of structural units</a:t>
            </a:r>
            <a:r>
              <a:rPr lang="fr-FR" sz="1100"/>
              <a:t/>
            </a:r>
            <a:br>
              <a:rPr lang="fr-FR" sz="1100"/>
            </a:br>
            <a:r>
              <a:rPr lang="fr-FR" sz="1100" b="1"/>
              <a:t>OF THE NATIONAL SCHOOL OF JUDGES</a:t>
            </a:r>
            <a:r>
              <a:rPr lang="fr-FR" sz="1100"/>
              <a:t> </a:t>
            </a:r>
            <a:r>
              <a:rPr lang="fr-FR" sz="1100" b="1"/>
              <a:t>in the training of</a:t>
            </a:r>
            <a:endParaRPr lang="uk-UA" sz="1100" b="1"/>
          </a:p>
          <a:p>
            <a:pPr>
              <a:defRPr sz="1400">
                <a:latin typeface="Times New Roman" panose="02020603050405020304" pitchFamily="18" charset="0"/>
                <a:cs typeface="Times New Roman" panose="02020603050405020304" pitchFamily="18" charset="0"/>
              </a:defRPr>
            </a:pPr>
            <a:r>
              <a:rPr lang="fr-FR" sz="1100" b="1"/>
              <a:t> court staff</a:t>
            </a:r>
            <a:r>
              <a:rPr lang="uk-UA" sz="1100" b="1"/>
              <a:t>  2021</a:t>
            </a:r>
            <a:endParaRPr lang="uk-UA" sz="1300"/>
          </a:p>
        </c:rich>
      </c:tx>
      <c:layout>
        <c:manualLayout>
          <c:xMode val="edge"/>
          <c:yMode val="edge"/>
          <c:x val="0.14648510520343391"/>
          <c:y val="0"/>
        </c:manualLayout>
      </c:layout>
      <c:overlay val="0"/>
    </c:title>
    <c:autoTitleDeleted val="0"/>
    <c:plotArea>
      <c:layout>
        <c:manualLayout>
          <c:layoutTarget val="inner"/>
          <c:xMode val="edge"/>
          <c:yMode val="edge"/>
          <c:x val="0.11932262450463975"/>
          <c:y val="0.25048309646707168"/>
          <c:w val="0.32215717608093258"/>
          <c:h val="0.56855929036989994"/>
        </c:manualLayout>
      </c:layout>
      <c:pieChart>
        <c:varyColors val="1"/>
        <c:ser>
          <c:idx val="0"/>
          <c:order val="0"/>
          <c:tx>
            <c:strRef>
              <c:f>Лист1!$B$1</c:f>
              <c:strCache>
                <c:ptCount val="1"/>
                <c:pt idx="0">
                  <c:v>Участь регіональних відділень НШСУ у підготовці працівників апаратів судів у першому кварталі 2019 року</c:v>
                </c:pt>
              </c:strCache>
            </c:strRef>
          </c:tx>
          <c:explosion val="3"/>
          <c:dLbls>
            <c:dLbl>
              <c:idx val="0"/>
              <c:layout>
                <c:manualLayout>
                  <c:x val="-8.3353223547713795E-2"/>
                  <c:y val="5.43968559290371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CED-4343-9B5F-FAAC7E9E2D46}"/>
                </c:ext>
              </c:extLst>
            </c:dLbl>
            <c:dLbl>
              <c:idx val="1"/>
              <c:layout>
                <c:manualLayout>
                  <c:x val="-6.6440634374995131E-2"/>
                  <c:y val="-0.1236441885889046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CED-4343-9B5F-FAAC7E9E2D46}"/>
                </c:ext>
              </c:extLst>
            </c:dLbl>
            <c:dLbl>
              <c:idx val="2"/>
              <c:layout>
                <c:manualLayout>
                  <c:x val="6.9911881907014237E-2"/>
                  <c:y val="-0.1256485338278236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CED-4343-9B5F-FAAC7E9E2D46}"/>
                </c:ext>
              </c:extLst>
            </c:dLbl>
            <c:dLbl>
              <c:idx val="3"/>
              <c:layout>
                <c:manualLayout>
                  <c:x val="0.10238415975736551"/>
                  <c:y val="-3.81816420574845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CED-4343-9B5F-FAAC7E9E2D46}"/>
                </c:ext>
              </c:extLst>
            </c:dLbl>
            <c:dLbl>
              <c:idx val="4"/>
              <c:layout>
                <c:manualLayout>
                  <c:x val="9.2778911249915469E-2"/>
                  <c:y val="7.4423148775998718E-2"/>
                </c:manualLayout>
              </c:layout>
              <c:showLegendKey val="0"/>
              <c:showVal val="1"/>
              <c:showCatName val="0"/>
              <c:showSerName val="0"/>
              <c:showPercent val="0"/>
              <c:showBubbleSize val="0"/>
              <c:extLst>
                <c:ext xmlns:c15="http://schemas.microsoft.com/office/drawing/2012/chart" uri="{CE6537A1-D6FC-4f65-9D91-7224C49458BB}">
                  <c15:layout>
                    <c:manualLayout>
                      <c:w val="9.3596971460025352E-2"/>
                      <c:h val="8.0140597539543057E-2"/>
                    </c:manualLayout>
                  </c15:layout>
                </c:ext>
                <c:ext xmlns:c16="http://schemas.microsoft.com/office/drawing/2014/chart" uri="{C3380CC4-5D6E-409C-BE32-E72D297353CC}">
                  <c16:uniqueId val="{00000004-DCED-4343-9B5F-FAAC7E9E2D46}"/>
                </c:ext>
              </c:extLst>
            </c:dLbl>
            <c:dLbl>
              <c:idx val="5"/>
              <c:layout>
                <c:manualLayout>
                  <c:x val="4.9922451687165872E-2"/>
                  <c:y val="0.1368869269197236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CED-4343-9B5F-FAAC7E9E2D46}"/>
                </c:ext>
              </c:extLst>
            </c:dLbl>
            <c:dLbl>
              <c:idx val="6"/>
              <c:layout>
                <c:manualLayout>
                  <c:x val="3.2422408561208281E-2"/>
                  <c:y val="8.77040809266152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CED-4343-9B5F-FAAC7E9E2D46}"/>
                </c:ext>
              </c:extLst>
            </c:dLbl>
            <c:spPr>
              <a:noFill/>
              <a:ln>
                <a:noFill/>
              </a:ln>
              <a:effectLst/>
            </c:spPr>
            <c:txPr>
              <a:bodyPr/>
              <a:lstStyle/>
              <a:p>
                <a:pPr>
                  <a:defRPr sz="1100">
                    <a:latin typeface="Times New Roman" panose="02020603050405020304" pitchFamily="18" charset="0"/>
                    <a:cs typeface="Times New Roman" panose="02020603050405020304" pitchFamily="18" charset="0"/>
                  </a:defRPr>
                </a:pPr>
                <a:endParaRPr lang="uk-UA"/>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Лист1!$A$2:$A$8</c:f>
              <c:strCache>
                <c:ptCount val="7"/>
                <c:pt idx="0">
                  <c:v>Відділ підготовки (м. Київ) 5366</c:v>
                </c:pt>
                <c:pt idx="1">
                  <c:v>Дніпровське РВ 3342</c:v>
                </c:pt>
                <c:pt idx="2">
                  <c:v>Одеське РВ 3161</c:v>
                </c:pt>
                <c:pt idx="3">
                  <c:v>Львівське РВ 2535</c:v>
                </c:pt>
                <c:pt idx="4">
                  <c:v>Харківське РВ 1959</c:v>
                </c:pt>
                <c:pt idx="5">
                  <c:v>Чернівецьке РВ 1780</c:v>
                </c:pt>
                <c:pt idx="6">
                  <c:v>Вінницький навчальний центр 393</c:v>
                </c:pt>
              </c:strCache>
            </c:strRef>
          </c:cat>
          <c:val>
            <c:numRef>
              <c:f>Лист1!$B$2:$B$8</c:f>
              <c:numCache>
                <c:formatCode>0.00%</c:formatCode>
                <c:ptCount val="7"/>
                <c:pt idx="0">
                  <c:v>0.28899999999999998</c:v>
                </c:pt>
                <c:pt idx="1">
                  <c:v>0.18</c:v>
                </c:pt>
                <c:pt idx="2">
                  <c:v>0.17</c:v>
                </c:pt>
                <c:pt idx="3">
                  <c:v>0.13700000000000001</c:v>
                </c:pt>
                <c:pt idx="4">
                  <c:v>0.106</c:v>
                </c:pt>
                <c:pt idx="5">
                  <c:v>9.7000000000000003E-2</c:v>
                </c:pt>
                <c:pt idx="6">
                  <c:v>2.1000000000000001E-2</c:v>
                </c:pt>
              </c:numCache>
            </c:numRef>
          </c:val>
          <c:extLst>
            <c:ext xmlns:c16="http://schemas.microsoft.com/office/drawing/2014/chart" uri="{C3380CC4-5D6E-409C-BE32-E72D297353CC}">
              <c16:uniqueId val="{00000007-DCED-4343-9B5F-FAAC7E9E2D46}"/>
            </c:ext>
          </c:extLst>
        </c:ser>
        <c:dLbls>
          <c:showLegendKey val="0"/>
          <c:showVal val="0"/>
          <c:showCatName val="0"/>
          <c:showSerName val="0"/>
          <c:showPercent val="0"/>
          <c:showBubbleSize val="0"/>
          <c:showLeaderLines val="1"/>
        </c:dLbls>
        <c:firstSliceAng val="0"/>
      </c:pieChart>
    </c:plotArea>
    <c:legend>
      <c:legendPos val="r"/>
      <c:legendEntry>
        <c:idx val="0"/>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1"/>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2"/>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3"/>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4"/>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5"/>
        <c:txPr>
          <a:bodyPr/>
          <a:lstStyle/>
          <a:p>
            <a:pPr>
              <a:defRPr sz="1200">
                <a:latin typeface="Times New Roman" panose="02020603050405020304" pitchFamily="18" charset="0"/>
                <a:cs typeface="Times New Roman" panose="02020603050405020304" pitchFamily="18" charset="0"/>
              </a:defRPr>
            </a:pPr>
            <a:endParaRPr lang="uk-UA"/>
          </a:p>
        </c:txPr>
      </c:legendEntry>
      <c:legendEntry>
        <c:idx val="6"/>
        <c:txPr>
          <a:bodyPr/>
          <a:lstStyle/>
          <a:p>
            <a:pPr>
              <a:defRPr sz="1200">
                <a:latin typeface="Times New Roman" panose="02020603050405020304" pitchFamily="18" charset="0"/>
                <a:cs typeface="Times New Roman" panose="02020603050405020304" pitchFamily="18" charset="0"/>
              </a:defRPr>
            </a:pPr>
            <a:endParaRPr lang="uk-UA"/>
          </a:p>
        </c:txPr>
      </c:legendEntry>
      <c:layout>
        <c:manualLayout>
          <c:xMode val="edge"/>
          <c:yMode val="edge"/>
          <c:x val="0.45088267073566701"/>
          <c:y val="0.24864121334569586"/>
          <c:w val="0.54314242386700251"/>
          <c:h val="0.58311605786118836"/>
        </c:manualLayout>
      </c:layout>
      <c:overlay val="0"/>
      <c:txPr>
        <a:bodyPr/>
        <a:lstStyle/>
        <a:p>
          <a:pPr>
            <a:defRPr>
              <a:latin typeface="Times New Roman" panose="02020603050405020304" pitchFamily="18" charset="0"/>
              <a:cs typeface="Times New Roman" panose="02020603050405020304" pitchFamily="18" charset="0"/>
            </a:defRPr>
          </a:pPr>
          <a:endParaRPr lang="uk-UA"/>
        </a:p>
      </c:txPr>
    </c:legend>
    <c:plotVisOnly val="1"/>
    <c:dispBlanksAs val="zero"/>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hPercent val="100"/>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28954423592494E-2"/>
          <c:y val="0.25975249207838624"/>
          <c:w val="0.93224663973399469"/>
          <c:h val="0.56171814015476051"/>
        </c:manualLayout>
      </c:layout>
      <c:bar3DChart>
        <c:barDir val="col"/>
        <c:grouping val="stacked"/>
        <c:varyColors val="0"/>
        <c:ser>
          <c:idx val="0"/>
          <c:order val="0"/>
          <c:spPr>
            <a:solidFill>
              <a:schemeClr val="accent1"/>
            </a:solidFill>
            <a:ln>
              <a:noFill/>
            </a:ln>
            <a:effectLst/>
            <a:sp3d/>
          </c:spPr>
          <c:invertIfNegative val="0"/>
          <c:dLbls>
            <c:dLbl>
              <c:idx val="0"/>
              <c:tx>
                <c:rich>
                  <a:bodyPr/>
                  <a:lstStyle/>
                  <a:p>
                    <a:r>
                      <a:rPr lang="en-US"/>
                      <a:t>51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16B-4087-88EB-560B5BE5EC1A}"/>
                </c:ext>
              </c:extLst>
            </c:dLbl>
            <c:dLbl>
              <c:idx val="2"/>
              <c:tx>
                <c:rich>
                  <a:bodyPr/>
                  <a:lstStyle/>
                  <a:p>
                    <a:r>
                      <a:rPr lang="en-US"/>
                      <a:t>18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16B-4087-88EB-560B5BE5EC1A}"/>
                </c:ext>
              </c:extLst>
            </c:dLbl>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Sheet1!$A$1:$C$1</c:f>
              <c:strCache>
                <c:ptCount val="3"/>
                <c:pt idx="0">
                  <c:v>Тренінги</c:v>
                </c:pt>
                <c:pt idx="1">
                  <c:v>Семінари</c:v>
                </c:pt>
                <c:pt idx="2">
                  <c:v>Круглі столи</c:v>
                </c:pt>
              </c:strCache>
            </c:strRef>
          </c:cat>
          <c:val>
            <c:numRef>
              <c:f>Sheet1!$A$2:$C$2</c:f>
              <c:numCache>
                <c:formatCode>General</c:formatCode>
                <c:ptCount val="3"/>
                <c:pt idx="0">
                  <c:v>52</c:v>
                </c:pt>
                <c:pt idx="1">
                  <c:v>33</c:v>
                </c:pt>
                <c:pt idx="2">
                  <c:v>17</c:v>
                </c:pt>
              </c:numCache>
            </c:numRef>
          </c:val>
          <c:extLst>
            <c:ext xmlns:c15="http://schemas.microsoft.com/office/drawing/2012/chart" uri="{02D57815-91ED-43cb-92C2-25804820EDAC}">
              <c15:filteredSeriesTitle>
                <c15:tx>
                  <c:strRef>
                    <c:extLst>
                      <c:ext uri="{02D57815-91ED-43cb-92C2-25804820EDAC}">
                        <c15:formulaRef>
                          <c15:sqref>Sheet1!#REF!</c15:sqref>
                        </c15:formulaRef>
                      </c:ext>
                    </c:extLst>
                    <c:strCache>
                      <c:ptCount val="1"/>
                      <c:pt idx="0">
                        <c:v>#REF!</c:v>
                      </c:pt>
                    </c:strCache>
                  </c:strRef>
                </c15:tx>
              </c15:filteredSeriesTitle>
            </c:ext>
            <c:ext xmlns:c16="http://schemas.microsoft.com/office/drawing/2014/chart" uri="{C3380CC4-5D6E-409C-BE32-E72D297353CC}">
              <c16:uniqueId val="{00000002-416B-4087-88EB-560B5BE5EC1A}"/>
            </c:ext>
          </c:extLst>
        </c:ser>
        <c:ser>
          <c:idx val="1"/>
          <c:order val="1"/>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uk-UA"/>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Sheet1!$A$1:$C$1</c:f>
              <c:strCache>
                <c:ptCount val="3"/>
                <c:pt idx="0">
                  <c:v>Тренінги</c:v>
                </c:pt>
                <c:pt idx="1">
                  <c:v>Семінари</c:v>
                </c:pt>
                <c:pt idx="2">
                  <c:v>Круглі столи</c:v>
                </c:pt>
              </c:strCache>
            </c:strRef>
          </c:cat>
          <c:val>
            <c:numRef>
              <c:f>Sheet1!$A$3:$C$3</c:f>
              <c:numCache>
                <c:formatCode>General</c:formatCode>
                <c:ptCount val="3"/>
              </c:numCache>
            </c:numRef>
          </c:val>
          <c:extLst>
            <c:ext xmlns:c15="http://schemas.microsoft.com/office/drawing/2012/chart" uri="{02D57815-91ED-43cb-92C2-25804820EDAC}">
              <c15:filteredSeriesTitle>
                <c15:tx>
                  <c:strRef>
                    <c:extLst>
                      <c:ext uri="{02D57815-91ED-43cb-92C2-25804820EDAC}">
                        <c15:formulaRef>
                          <c15:sqref>Sheet1!#REF!</c15:sqref>
                        </c15:formulaRef>
                      </c:ext>
                    </c:extLst>
                    <c:strCache>
                      <c:ptCount val="1"/>
                      <c:pt idx="0">
                        <c:v>#REF!</c:v>
                      </c:pt>
                    </c:strCache>
                  </c:strRef>
                </c15:tx>
              </c15:filteredSeriesTitle>
            </c:ext>
            <c:ext xmlns:c16="http://schemas.microsoft.com/office/drawing/2014/chart" uri="{C3380CC4-5D6E-409C-BE32-E72D297353CC}">
              <c16:uniqueId val="{00000003-416B-4087-88EB-560B5BE5EC1A}"/>
            </c:ext>
          </c:extLst>
        </c:ser>
        <c:dLbls>
          <c:showLegendKey val="0"/>
          <c:showVal val="1"/>
          <c:showCatName val="0"/>
          <c:showSerName val="0"/>
          <c:showPercent val="0"/>
          <c:showBubbleSize val="0"/>
        </c:dLbls>
        <c:gapWidth val="150"/>
        <c:shape val="box"/>
        <c:axId val="47890432"/>
        <c:axId val="47891968"/>
        <c:axId val="0"/>
      </c:bar3DChart>
      <c:catAx>
        <c:axId val="47890432"/>
        <c:scaling>
          <c:orientation val="minMax"/>
        </c:scaling>
        <c:delete val="1"/>
        <c:axPos val="b"/>
        <c:numFmt formatCode="General" sourceLinked="1"/>
        <c:majorTickMark val="none"/>
        <c:minorTickMark val="none"/>
        <c:tickLblPos val="low"/>
        <c:crossAx val="47891968"/>
        <c:crosses val="autoZero"/>
        <c:auto val="1"/>
        <c:lblAlgn val="ctr"/>
        <c:lblOffset val="100"/>
        <c:tickLblSkip val="1"/>
        <c:tickMarkSkip val="1"/>
        <c:noMultiLvlLbl val="0"/>
      </c:catAx>
      <c:valAx>
        <c:axId val="478919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0" spcFirstLastPara="1" vertOverflow="ellipsis"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uk-UA"/>
          </a:p>
        </c:txPr>
        <c:crossAx val="4789043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uk-UA"/>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fr-FR" sz="1200" b="1"/>
              <a:t>Number of events held for judges, court staff and court security service</a:t>
            </a:r>
            <a:endParaRPr lang="fr-FR" sz="1200"/>
          </a:p>
        </c:rich>
      </c:tx>
      <c:layout>
        <c:manualLayout>
          <c:xMode val="edge"/>
          <c:yMode val="edge"/>
          <c:x val="0.13618795585748741"/>
          <c:y val="3.4909702516302411E-2"/>
        </c:manualLayout>
      </c:layout>
      <c:overlay val="0"/>
    </c:title>
    <c:autoTitleDeleted val="0"/>
    <c:view3D>
      <c:rotX val="30"/>
      <c:rotY val="0"/>
      <c:rAngAx val="0"/>
      <c:perspective val="0"/>
    </c:view3D>
    <c:floor>
      <c:thickness val="0"/>
    </c:floor>
    <c:sideWall>
      <c:thickness val="0"/>
    </c:sideWall>
    <c:backWall>
      <c:thickness val="0"/>
    </c:backWall>
    <c:plotArea>
      <c:layout/>
      <c:pie3DChart>
        <c:varyColors val="1"/>
        <c:ser>
          <c:idx val="0"/>
          <c:order val="0"/>
          <c:tx>
            <c:strRef>
              <c:f>Лист1!$B$1</c:f>
              <c:strCache>
                <c:ptCount val="1"/>
                <c:pt idx="0">
                  <c:v>Кількість проведених лекції, вебінарів, тренінгів, робочих груп  </c:v>
                </c:pt>
              </c:strCache>
            </c:strRef>
          </c:tx>
          <c:dLbls>
            <c:spPr>
              <a:noFill/>
              <a:ln w="25370">
                <a:noFill/>
              </a:ln>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Лист1!$A$2:$A$4</c:f>
              <c:strCache>
                <c:ptCount val="3"/>
                <c:pt idx="0">
                  <c:v>апарат судів - 131</c:v>
                </c:pt>
                <c:pt idx="1">
                  <c:v>судді - 122</c:v>
                </c:pt>
                <c:pt idx="2">
                  <c:v>ссо - 42</c:v>
                </c:pt>
              </c:strCache>
            </c:strRef>
          </c:cat>
          <c:val>
            <c:numRef>
              <c:f>Лист1!$B$2:$B$4</c:f>
              <c:numCache>
                <c:formatCode>#,000%</c:formatCode>
                <c:ptCount val="3"/>
                <c:pt idx="0">
                  <c:v>0.44400000000000001</c:v>
                </c:pt>
                <c:pt idx="1">
                  <c:v>0.41350000000000031</c:v>
                </c:pt>
                <c:pt idx="2">
                  <c:v>0.14230000000000001</c:v>
                </c:pt>
              </c:numCache>
            </c:numRef>
          </c:val>
          <c:extLst>
            <c:ext xmlns:c16="http://schemas.microsoft.com/office/drawing/2014/chart" uri="{C3380CC4-5D6E-409C-BE32-E72D297353CC}">
              <c16:uniqueId val="{00000003-D923-4014-9A9E-B1AE7E4B37DF}"/>
            </c:ext>
          </c:extLst>
        </c:ser>
        <c:dLbls>
          <c:showLegendKey val="0"/>
          <c:showVal val="0"/>
          <c:showCatName val="0"/>
          <c:showSerName val="0"/>
          <c:showPercent val="0"/>
          <c:showBubbleSize val="0"/>
          <c:showLeaderLines val="1"/>
        </c:dLbls>
      </c:pie3DChart>
      <c:spPr>
        <a:noFill/>
        <a:ln w="25370">
          <a:noFill/>
        </a:ln>
      </c:spPr>
    </c:plotArea>
    <c:legend>
      <c:legendPos val="r"/>
      <c:layout>
        <c:manualLayout>
          <c:xMode val="edge"/>
          <c:yMode val="edge"/>
          <c:x val="0.6941362916006335"/>
          <c:y val="0.38392857142857245"/>
          <c:w val="0.28526148969889081"/>
          <c:h val="0.41666666666666724"/>
        </c:manualLayout>
      </c:layout>
      <c:overlay val="0"/>
      <c:txPr>
        <a:bodyPr/>
        <a:lstStyle/>
        <a:p>
          <a:pPr>
            <a:defRPr>
              <a:latin typeface="Times New Roman" panose="02020603050405020304" pitchFamily="18" charset="0"/>
              <a:cs typeface="Times New Roman" panose="02020603050405020304" pitchFamily="18" charset="0"/>
            </a:defRPr>
          </a:pPr>
          <a:endParaRPr lang="uk-UA"/>
        </a:p>
      </c:txPr>
    </c:legend>
    <c:plotVisOnly val="1"/>
    <c:dispBlanksAs val="zero"/>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fr-FR" sz="1200" b="1"/>
              <a:t>Total number of lectures, consultations, workshops, trainings, working groups, round tables</a:t>
            </a:r>
            <a:endParaRPr lang="fr-FR" sz="1200"/>
          </a:p>
        </c:rich>
      </c:tx>
      <c:layout>
        <c:manualLayout>
          <c:xMode val="edge"/>
          <c:yMode val="edge"/>
          <c:x val="0.13618796662274918"/>
          <c:y val="2.6954253033406598E-2"/>
        </c:manualLayout>
      </c:layout>
      <c:overlay val="0"/>
    </c:title>
    <c:autoTitleDeleted val="0"/>
    <c:view3D>
      <c:rotX val="30"/>
      <c:rotY val="0"/>
      <c:rAngAx val="0"/>
      <c:perspective val="0"/>
    </c:view3D>
    <c:floor>
      <c:thickness val="0"/>
    </c:floor>
    <c:sideWall>
      <c:thickness val="0"/>
    </c:sideWall>
    <c:backWall>
      <c:thickness val="0"/>
    </c:backWall>
    <c:plotArea>
      <c:layout/>
      <c:pie3DChart>
        <c:varyColors val="1"/>
        <c:ser>
          <c:idx val="0"/>
          <c:order val="0"/>
          <c:tx>
            <c:strRef>
              <c:f>Лист1!$B$1</c:f>
              <c:strCache>
                <c:ptCount val="1"/>
                <c:pt idx="0">
                  <c:v>Кількість проведених лекції, вебінарів, тренінгів, робочих груп  </c:v>
                </c:pt>
              </c:strCache>
            </c:strRef>
          </c:tx>
          <c:dLbls>
            <c:spPr>
              <a:noFill/>
              <a:ln w="25370">
                <a:noFill/>
              </a:ln>
            </c:spPr>
            <c:showLegendKey val="0"/>
            <c:showVal val="1"/>
            <c:showCatName val="0"/>
            <c:showSerName val="0"/>
            <c:showPercent val="0"/>
            <c:showBubbleSize val="0"/>
            <c:showLeaderLines val="1"/>
            <c:extLst>
              <c:ext xmlns:c15="http://schemas.microsoft.com/office/drawing/2012/chart" uri="{CE6537A1-D6FC-4f65-9D91-7224C49458BB}"/>
            </c:extLst>
          </c:dLbls>
          <c:cat>
            <c:strRef>
              <c:f>Лист1!$A$2:$A$7</c:f>
              <c:strCache>
                <c:ptCount val="6"/>
                <c:pt idx="0">
                  <c:v>лекція - 125</c:v>
                </c:pt>
                <c:pt idx="1">
                  <c:v>консультація - 7</c:v>
                </c:pt>
                <c:pt idx="2">
                  <c:v>семінар-практикум - 40</c:v>
                </c:pt>
                <c:pt idx="3">
                  <c:v>тренінг - 51</c:v>
                </c:pt>
                <c:pt idx="4">
                  <c:v>робоча група - 57 </c:v>
                </c:pt>
                <c:pt idx="5">
                  <c:v>круглий стіл - 15 </c:v>
                </c:pt>
              </c:strCache>
            </c:strRef>
          </c:cat>
          <c:val>
            <c:numRef>
              <c:f>Лист1!$B$2:$B$7</c:f>
              <c:numCache>
                <c:formatCode>#,000%</c:formatCode>
                <c:ptCount val="6"/>
                <c:pt idx="0">
                  <c:v>0.42370000000000002</c:v>
                </c:pt>
                <c:pt idx="1">
                  <c:v>2.3699999999999999E-2</c:v>
                </c:pt>
                <c:pt idx="2">
                  <c:v>0.13550000000000001</c:v>
                </c:pt>
                <c:pt idx="3">
                  <c:v>0.17280000000000001</c:v>
                </c:pt>
                <c:pt idx="4">
                  <c:v>0.19320000000000001</c:v>
                </c:pt>
                <c:pt idx="5">
                  <c:v>5.0800000000000012E-2</c:v>
                </c:pt>
              </c:numCache>
            </c:numRef>
          </c:val>
          <c:extLst>
            <c:ext xmlns:c16="http://schemas.microsoft.com/office/drawing/2014/chart" uri="{C3380CC4-5D6E-409C-BE32-E72D297353CC}">
              <c16:uniqueId val="{00000006-B5B2-4951-B512-A530E1E782A1}"/>
            </c:ext>
          </c:extLst>
        </c:ser>
        <c:dLbls>
          <c:showLegendKey val="0"/>
          <c:showVal val="0"/>
          <c:showCatName val="0"/>
          <c:showSerName val="0"/>
          <c:showPercent val="0"/>
          <c:showBubbleSize val="0"/>
          <c:showLeaderLines val="1"/>
        </c:dLbls>
      </c:pie3DChart>
      <c:spPr>
        <a:noFill/>
        <a:ln w="25370">
          <a:noFill/>
        </a:ln>
      </c:spPr>
    </c:plotArea>
    <c:legend>
      <c:legendPos val="r"/>
      <c:layout>
        <c:manualLayout>
          <c:xMode val="edge"/>
          <c:yMode val="edge"/>
          <c:x val="0.69736842105263053"/>
          <c:y val="0.37500000000000044"/>
          <c:w val="0.28453947368421101"/>
          <c:h val="0.41666666666666724"/>
        </c:manualLayout>
      </c:layout>
      <c:overlay val="0"/>
      <c:txPr>
        <a:bodyPr/>
        <a:lstStyle/>
        <a:p>
          <a:pPr>
            <a:defRPr>
              <a:latin typeface="Times New Roman" panose="02020603050405020304" pitchFamily="18" charset="0"/>
              <a:cs typeface="Times New Roman" panose="02020603050405020304" pitchFamily="18" charset="0"/>
            </a:defRPr>
          </a:pPr>
          <a:endParaRPr lang="uk-UA"/>
        </a:p>
      </c:txPr>
    </c:legend>
    <c:plotVisOnly val="1"/>
    <c:dispBlanksAs val="zero"/>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fr-FR" b="1">
                <a:latin typeface="Times New Roman" panose="02020603050405020304" pitchFamily="18" charset="0"/>
                <a:cs typeface="Times New Roman" panose="02020603050405020304" pitchFamily="18" charset="0"/>
              </a:rPr>
              <a:t>Budget of the</a:t>
            </a:r>
            <a:r>
              <a:rPr lang="fr-FR">
                <a:latin typeface="Times New Roman" panose="02020603050405020304" pitchFamily="18" charset="0"/>
                <a:cs typeface="Times New Roman" panose="02020603050405020304" pitchFamily="18" charset="0"/>
              </a:rPr>
              <a:t/>
            </a:r>
            <a:br>
              <a:rPr lang="fr-FR">
                <a:latin typeface="Times New Roman" panose="02020603050405020304" pitchFamily="18" charset="0"/>
                <a:cs typeface="Times New Roman" panose="02020603050405020304" pitchFamily="18" charset="0"/>
              </a:rPr>
            </a:br>
            <a:r>
              <a:rPr lang="fr-FR" b="1">
                <a:latin typeface="Times New Roman" panose="02020603050405020304" pitchFamily="18" charset="0"/>
                <a:cs typeface="Times New Roman" panose="02020603050405020304" pitchFamily="18" charset="0"/>
              </a:rPr>
              <a:t>of the National School of Judges of Ukraine</a:t>
            </a:r>
            <a:r>
              <a:rPr lang="fr-FR">
                <a:latin typeface="Times New Roman" panose="02020603050405020304" pitchFamily="18" charset="0"/>
                <a:cs typeface="Times New Roman" panose="02020603050405020304" pitchFamily="18" charset="0"/>
              </a:rPr>
              <a:t/>
            </a:r>
            <a:br>
              <a:rPr lang="fr-FR">
                <a:latin typeface="Times New Roman" panose="02020603050405020304" pitchFamily="18" charset="0"/>
                <a:cs typeface="Times New Roman" panose="02020603050405020304" pitchFamily="18" charset="0"/>
              </a:rPr>
            </a:br>
            <a:r>
              <a:rPr lang="fr-FR" b="1">
                <a:latin typeface="Times New Roman" panose="02020603050405020304" pitchFamily="18" charset="0"/>
                <a:cs typeface="Times New Roman" panose="02020603050405020304" pitchFamily="18" charset="0"/>
              </a:rPr>
              <a:t>for 2021</a:t>
            </a:r>
            <a:endParaRPr lang="fr-FR">
              <a:latin typeface="Times New Roman" panose="02020603050405020304" pitchFamily="18" charset="0"/>
              <a:cs typeface="Times New Roman" panose="02020603050405020304" pitchFamily="18" charset="0"/>
            </a:endParaRPr>
          </a:p>
        </c:rich>
      </c:tx>
      <c:layout>
        <c:manualLayout>
          <c:xMode val="edge"/>
          <c:yMode val="edge"/>
          <c:x val="0.21896972732423051"/>
          <c:y val="2.4600171847928672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uk-UA"/>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4.1058188894271359E-3"/>
          <c:y val="0.32708685621367328"/>
          <c:w val="0.9062826270803741"/>
          <c:h val="0.48136013527860505"/>
        </c:manualLayout>
      </c:layout>
      <c:pie3DChart>
        <c:varyColors val="1"/>
        <c:ser>
          <c:idx val="0"/>
          <c:order val="0"/>
          <c:tx>
            <c:strRef>
              <c:f>Лист1!$B$1</c:f>
              <c:strCache>
                <c:ptCount val="1"/>
                <c:pt idx="0">
                  <c:v>Бюджет Національної школи суддів України на 2016 рік</c:v>
                </c:pt>
              </c:strCache>
            </c:strRef>
          </c:tx>
          <c:explosion val="32"/>
          <c:dPt>
            <c:idx val="0"/>
            <c:bubble3D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p3d/>
            </c:spPr>
            <c:extLst>
              <c:ext xmlns:c16="http://schemas.microsoft.com/office/drawing/2014/chart" uri="{C3380CC4-5D6E-409C-BE32-E72D297353CC}">
                <c16:uniqueId val="{00000001-AD96-4F9E-B191-CAAEAA0AD9ED}"/>
              </c:ext>
            </c:extLst>
          </c:dPt>
          <c:dPt>
            <c:idx val="1"/>
            <c:bubble3D val="0"/>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p3d/>
            </c:spPr>
            <c:extLst>
              <c:ext xmlns:c16="http://schemas.microsoft.com/office/drawing/2014/chart" uri="{C3380CC4-5D6E-409C-BE32-E72D297353CC}">
                <c16:uniqueId val="{00000003-AD96-4F9E-B191-CAAEAA0AD9ED}"/>
              </c:ext>
            </c:extLst>
          </c:dPt>
          <c:dPt>
            <c:idx val="2"/>
            <c:bubble3D val="0"/>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p3d/>
            </c:spPr>
            <c:extLst>
              <c:ext xmlns:c16="http://schemas.microsoft.com/office/drawing/2014/chart" uri="{C3380CC4-5D6E-409C-BE32-E72D297353CC}">
                <c16:uniqueId val="{00000005-AD96-4F9E-B191-CAAEAA0AD9ED}"/>
              </c:ext>
            </c:extLst>
          </c:dPt>
          <c:dPt>
            <c:idx val="3"/>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p3d/>
            </c:spPr>
            <c:extLst>
              <c:ext xmlns:c16="http://schemas.microsoft.com/office/drawing/2014/chart" uri="{C3380CC4-5D6E-409C-BE32-E72D297353CC}">
                <c16:uniqueId val="{00000007-AD96-4F9E-B191-CAAEAA0AD9ED}"/>
              </c:ext>
            </c:extLst>
          </c:dPt>
          <c:dPt>
            <c:idx val="4"/>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p3d/>
            </c:spPr>
            <c:extLst>
              <c:ext xmlns:c16="http://schemas.microsoft.com/office/drawing/2014/chart" uri="{C3380CC4-5D6E-409C-BE32-E72D297353CC}">
                <c16:uniqueId val="{00000009-AD96-4F9E-B191-CAAEAA0AD9ED}"/>
              </c:ext>
            </c:extLst>
          </c:dPt>
          <c:dPt>
            <c:idx val="5"/>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p3d/>
            </c:spPr>
            <c:extLst>
              <c:ext xmlns:c16="http://schemas.microsoft.com/office/drawing/2014/chart" uri="{C3380CC4-5D6E-409C-BE32-E72D297353CC}">
                <c16:uniqueId val="{0000000B-AD96-4F9E-B191-CAAEAA0AD9ED}"/>
              </c:ext>
            </c:extLst>
          </c:dPt>
          <c:dLbls>
            <c:dLbl>
              <c:idx val="0"/>
              <c:layout>
                <c:manualLayout>
                  <c:x val="-5.7339912802870444E-3"/>
                  <c:y val="-0.23009029059203021"/>
                </c:manualLayout>
              </c:layout>
              <c:tx>
                <c:rich>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r>
                      <a:rPr lang="en-US" baseline="0">
                        <a:solidFill>
                          <a:sysClr val="windowText" lastClr="000000"/>
                        </a:solidFill>
                        <a:latin typeface="+mn-lt"/>
                        <a:ea typeface="+mn-ea"/>
                        <a:cs typeface="+mn-cs"/>
                      </a:rPr>
                      <a:t>95,4%</a:t>
                    </a:r>
                  </a:p>
                  <a:p>
                    <a:pPr>
                      <a:defRPr>
                        <a:solidFill>
                          <a:sysClr val="windowText" lastClr="000000"/>
                        </a:solidFill>
                      </a:defRPr>
                    </a:pPr>
                    <a:endParaRPr lang="en-US" baseline="0">
                      <a:solidFill>
                        <a:sysClr val="windowText" lastClr="000000"/>
                      </a:solidFill>
                    </a:endParaRPr>
                  </a:p>
                </c:rich>
              </c:tx>
              <c:spPr>
                <a:noFill/>
                <a:ln w="25400" cap="flat" cmpd="sng" algn="ctr">
                  <a:noFill/>
                  <a:prstDash val="solid"/>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uk-UA"/>
                </a:p>
              </c:txPr>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D96-4F9E-B191-CAAEAA0AD9ED}"/>
                </c:ext>
              </c:extLst>
            </c:dLbl>
            <c:dLbl>
              <c:idx val="1"/>
              <c:layout>
                <c:manualLayout>
                  <c:x val="-4.33813109127782E-2"/>
                  <c:y val="7.2202865098758007E-3"/>
                </c:manualLayout>
              </c:layout>
              <c:tx>
                <c:rich>
                  <a:bodyPr/>
                  <a:lstStyle/>
                  <a:p>
                    <a:r>
                      <a:rPr lang="en-US"/>
                      <a:t>3,3 %</a:t>
                    </a:r>
                  </a:p>
                  <a:p>
                    <a:endParaRPr lang="en-US"/>
                  </a:p>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D96-4F9E-B191-CAAEAA0AD9ED}"/>
                </c:ext>
              </c:extLst>
            </c:dLbl>
            <c:dLbl>
              <c:idx val="2"/>
              <c:layout>
                <c:manualLayout>
                  <c:x val="-1.4346308901168376E-2"/>
                  <c:y val="-5.5884382967334806E-2"/>
                </c:manualLayout>
              </c:layout>
              <c:tx>
                <c:rich>
                  <a:bodyPr/>
                  <a:lstStyle/>
                  <a:p>
                    <a:r>
                      <a:rPr lang="en-US" sz="989" baseline="0">
                        <a:latin typeface="Times New Roman" pitchFamily="18" charset="0"/>
                      </a:rPr>
                      <a:t>0,1 %</a:t>
                    </a:r>
                    <a:endParaRPr lang="en-US" baseline="0">
                      <a:latin typeface="Times New Roman" pitchFamily="18" charset="0"/>
                    </a:endParaRP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D96-4F9E-B191-CAAEAA0AD9ED}"/>
                </c:ext>
              </c:extLst>
            </c:dLbl>
            <c:dLbl>
              <c:idx val="3"/>
              <c:layout>
                <c:manualLayout>
                  <c:x val="5.4030855632097086E-2"/>
                  <c:y val="-4.6216950966996746E-2"/>
                </c:manualLayout>
              </c:layout>
              <c:tx>
                <c:rich>
                  <a:bodyPr/>
                  <a:lstStyle/>
                  <a:p>
                    <a:r>
                      <a:rPr lang="en-US" sz="989" baseline="0">
                        <a:latin typeface="Times New Roman" pitchFamily="18" charset="0"/>
                      </a:rPr>
                      <a:t>1,2 %</a:t>
                    </a:r>
                    <a:endParaRPr lang="en-US" baseline="0">
                      <a:latin typeface="Times New Roman" pitchFamily="18" charset="0"/>
                    </a:endParaRP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D96-4F9E-B191-CAAEAA0AD9ED}"/>
                </c:ext>
              </c:extLst>
            </c:dLbl>
            <c:dLbl>
              <c:idx val="4"/>
              <c:layout>
                <c:manualLayout>
                  <c:x val="0.12351637614641235"/>
                  <c:y val="-1.7944867803867986E-2"/>
                </c:manualLayout>
              </c:layout>
              <c:tx>
                <c:rich>
                  <a:bodyPr/>
                  <a:lstStyle/>
                  <a:p>
                    <a:r>
                      <a:rPr lang="en-US" sz="989" baseline="0">
                        <a:latin typeface="Times New Roman" pitchFamily="18" charset="0"/>
                      </a:rPr>
                      <a:t>1,2 %</a:t>
                    </a:r>
                    <a:endParaRPr lang="en-US" baseline="0">
                      <a:latin typeface="Times New Roman" pitchFamily="18" charset="0"/>
                    </a:endParaRP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D96-4F9E-B191-CAAEAA0AD9ED}"/>
                </c:ext>
              </c:extLst>
            </c:dLbl>
            <c:dLbl>
              <c:idx val="5"/>
              <c:tx>
                <c:rich>
                  <a:bodyPr/>
                  <a:lstStyle/>
                  <a:p>
                    <a:r>
                      <a:rPr lang="en-US" sz="989"/>
                      <a:t>1,8%</a:t>
                    </a:r>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D96-4F9E-B191-CAAEAA0AD9E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uk-UA"/>
              </a:p>
            </c:txPr>
            <c:showLegendKey val="0"/>
            <c:showVal val="1"/>
            <c:showCatName val="0"/>
            <c:showSerName val="0"/>
            <c:showPercent val="0"/>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Лист1!$A$2:$A$5</c:f>
              <c:strCache>
                <c:ptCount val="4"/>
                <c:pt idx="0">
                  <c:v>Оплата праці з нарахуваннями    95,4 %</c:v>
                </c:pt>
                <c:pt idx="1">
                  <c:v>Видатки на товари та послуги   3,3 %</c:v>
                </c:pt>
                <c:pt idx="2">
                  <c:v>Видатки на відрядження   0,1 %</c:v>
                </c:pt>
                <c:pt idx="3">
                  <c:v>Комунальні послуги 1,2 %</c:v>
                </c:pt>
              </c:strCache>
            </c:strRef>
          </c:cat>
          <c:val>
            <c:numRef>
              <c:f>Лист1!$B$2:$B$5</c:f>
              <c:numCache>
                <c:formatCode>#,##0.00</c:formatCode>
                <c:ptCount val="4"/>
                <c:pt idx="0">
                  <c:v>95202800</c:v>
                </c:pt>
                <c:pt idx="1">
                  <c:v>3269400</c:v>
                </c:pt>
                <c:pt idx="2">
                  <c:v>24900</c:v>
                </c:pt>
                <c:pt idx="3">
                  <c:v>1269300</c:v>
                </c:pt>
              </c:numCache>
            </c:numRef>
          </c:val>
          <c:extLst>
            <c:ext xmlns:c16="http://schemas.microsoft.com/office/drawing/2014/chart" uri="{C3380CC4-5D6E-409C-BE32-E72D297353CC}">
              <c16:uniqueId val="{0000000C-AD96-4F9E-B191-CAAEAA0AD9ED}"/>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Times New Roman" panose="02020603050405020304" pitchFamily="18" charset="0"/>
              <a:ea typeface="+mn-ea"/>
              <a:cs typeface="Times New Roman" panose="02020603050405020304" pitchFamily="18" charset="0"/>
            </a:defRPr>
          </a:pPr>
          <a:endParaRPr lang="uk-UA"/>
        </a:p>
      </c:txPr>
    </c:legend>
    <c:plotVisOnly val="1"/>
    <c:dispBlanksAs val="zero"/>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uk-UA"/>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drawings/drawing1.xml><?xml version="1.0" encoding="utf-8"?>
<c:userShapes xmlns:c="http://schemas.openxmlformats.org/drawingml/2006/chart">
  <cdr:relSizeAnchor xmlns:cdr="http://schemas.openxmlformats.org/drawingml/2006/chartDrawing">
    <cdr:from>
      <cdr:x>0.32501</cdr:x>
      <cdr:y>0.01813</cdr:y>
    </cdr:from>
    <cdr:to>
      <cdr:x>0.65397</cdr:x>
      <cdr:y>0.20381</cdr:y>
    </cdr:to>
    <cdr:sp macro="" textlink="">
      <cdr:nvSpPr>
        <cdr:cNvPr id="3" name="Овал 2"/>
        <cdr:cNvSpPr/>
      </cdr:nvSpPr>
      <cdr:spPr>
        <a:xfrm xmlns:a="http://schemas.openxmlformats.org/drawingml/2006/main">
          <a:off x="1950315" y="66675"/>
          <a:ext cx="1973985" cy="682648"/>
        </a:xfrm>
        <a:prstGeom xmlns:a="http://schemas.openxmlformats.org/drawingml/2006/main" prst="ellipse">
          <a:avLst/>
        </a:prstGeom>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r>
            <a:rPr lang="ru-RU" sz="1200">
              <a:latin typeface="Times New Roman" pitchFamily="18" charset="0"/>
              <a:cs typeface="Times New Roman" pitchFamily="18" charset="0"/>
            </a:rPr>
            <a:t>   </a:t>
          </a:r>
          <a:r>
            <a:rPr lang="fr-FR" sz="1200" b="0">
              <a:latin typeface="Times New Roman" pitchFamily="18" charset="0"/>
              <a:cs typeface="Times New Roman" pitchFamily="18" charset="0"/>
            </a:rPr>
            <a:t>In total </a:t>
          </a:r>
        </a:p>
        <a:p xmlns:a="http://schemas.openxmlformats.org/drawingml/2006/main">
          <a:pPr algn="ctr"/>
          <a:r>
            <a:rPr lang="fr-FR" sz="1200" b="0">
              <a:latin typeface="Times New Roman" pitchFamily="18" charset="0"/>
              <a:cs typeface="Times New Roman" pitchFamily="18" charset="0"/>
            </a:rPr>
            <a:t>102 lessons</a:t>
          </a:r>
          <a:endParaRPr lang="ru-RU" sz="1200" b="0">
            <a:latin typeface="Times New Roman" pitchFamily="18" charset="0"/>
            <a:cs typeface="Times New Roman" pitchFamily="18" charset="0"/>
          </a:endParaRPr>
        </a:p>
      </cdr:txBody>
    </cdr:sp>
  </cdr:relSizeAnchor>
  <cdr:relSizeAnchor xmlns:cdr="http://schemas.openxmlformats.org/drawingml/2006/chartDrawing">
    <cdr:from>
      <cdr:x>0</cdr:x>
      <cdr:y>0.96998</cdr:y>
    </cdr:from>
    <cdr:to>
      <cdr:x>1</cdr:x>
      <cdr:y>1</cdr:y>
    </cdr:to>
    <cdr:sp macro="" textlink="">
      <cdr:nvSpPr>
        <cdr:cNvPr id="4" name="Поле 2"/>
        <cdr:cNvSpPr txBox="1"/>
      </cdr:nvSpPr>
      <cdr:spPr>
        <a:xfrm xmlns:a="http://schemas.openxmlformats.org/drawingml/2006/main">
          <a:off x="0" y="3200400"/>
          <a:ext cx="5356860" cy="99060"/>
        </a:xfrm>
        <a:prstGeom xmlns:a="http://schemas.openxmlformats.org/drawingml/2006/main" prst="rect">
          <a:avLst/>
        </a:prstGeom>
        <a:solidFill xmlns:a="http://schemas.openxmlformats.org/drawingml/2006/main">
          <a:prstClr val="white"/>
        </a:solidFill>
        <a:ln xmlns:a="http://schemas.openxmlformats.org/drawingml/2006/main">
          <a:noFill/>
        </a:ln>
        <a:effectLst xmlns:a="http://schemas.openxmlformats.org/drawingml/2006/main"/>
      </cdr:spPr>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A29E9D-C9E0-4D1D-8C1A-8DFEF328A2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Аналит звіт СП 2020 (6 міс).dot</Template>
  <TotalTime>1953</TotalTime>
  <Pages>1</Pages>
  <Words>77443</Words>
  <Characters>44144</Characters>
  <Application>Microsoft Office Word</Application>
  <DocSecurity>0</DocSecurity>
  <Lines>367</Lines>
  <Paragraphs>242</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I</vt:lpstr>
      <vt:lpstr>I</vt:lpstr>
    </vt:vector>
  </TitlesOfParts>
  <Company>RePack by SPecialiST</Company>
  <LinksUpToDate>false</LinksUpToDate>
  <CharactersWithSpaces>121345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creator>Будниченко Тетяна Павлівна</dc:creator>
  <cp:lastModifiedBy>Матвійчук Олена Анатоліївна</cp:lastModifiedBy>
  <cp:revision>57</cp:revision>
  <cp:lastPrinted>2021-12-30T09:32:00Z</cp:lastPrinted>
  <dcterms:created xsi:type="dcterms:W3CDTF">2025-02-14T09:40:00Z</dcterms:created>
  <dcterms:modified xsi:type="dcterms:W3CDTF">2025-02-19T13:34:00Z</dcterms:modified>
</cp:coreProperties>
</file>